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75C8" w:rsidRDefault="00000000">
      <w:pPr>
        <w:spacing w:after="783" w:line="253" w:lineRule="auto"/>
        <w:ind w:left="0" w:firstLine="0"/>
      </w:pPr>
      <w:r>
        <w:rPr>
          <w:sz w:val="44"/>
        </w:rPr>
        <w:t>Bepalingen Heineken Okeanos Competitie Tweekamp 2024</w:t>
      </w:r>
    </w:p>
    <w:sdt>
      <w:sdtPr>
        <w:rPr>
          <w:b w:val="0"/>
          <w:sz w:val="20"/>
        </w:rPr>
        <w:id w:val="1888907988"/>
        <w:docPartObj>
          <w:docPartGallery w:val="Table of Contents"/>
        </w:docPartObj>
      </w:sdtPr>
      <w:sdtContent>
        <w:p w:rsidR="009775C8" w:rsidRDefault="00000000">
          <w:pPr>
            <w:pStyle w:val="Inhopg1"/>
            <w:tabs>
              <w:tab w:val="right" w:pos="9072"/>
            </w:tabs>
          </w:pPr>
          <w:r>
            <w:fldChar w:fldCharType="begin"/>
          </w:r>
          <w:r>
            <w:instrText xml:space="preserve"> TOC \o "1-3" \h \z \u </w:instrText>
          </w:r>
          <w:r>
            <w:fldChar w:fldCharType="separate"/>
          </w:r>
          <w:hyperlink w:anchor="_Toc11803">
            <w:r>
              <w:t>Begripsbepalingen</w:t>
            </w:r>
            <w:r>
              <w:tab/>
            </w:r>
            <w:r>
              <w:fldChar w:fldCharType="begin"/>
            </w:r>
            <w:r>
              <w:instrText>PAGEREF _Toc11803 \h</w:instrText>
            </w:r>
            <w:r>
              <w:fldChar w:fldCharType="separate"/>
            </w:r>
            <w:r>
              <w:t>2</w:t>
            </w:r>
            <w:r>
              <w:fldChar w:fldCharType="end"/>
            </w:r>
          </w:hyperlink>
        </w:p>
        <w:p w:rsidR="009775C8" w:rsidRDefault="00000000">
          <w:pPr>
            <w:pStyle w:val="Inhopg2"/>
            <w:tabs>
              <w:tab w:val="right" w:pos="9072"/>
            </w:tabs>
          </w:pPr>
          <w:hyperlink w:anchor="_Toc11804">
            <w:r>
              <w:t>Competitieroeiers</w:t>
            </w:r>
            <w:r>
              <w:tab/>
            </w:r>
            <w:r>
              <w:fldChar w:fldCharType="begin"/>
            </w:r>
            <w:r>
              <w:instrText>PAGEREF _Toc11804 \h</w:instrText>
            </w:r>
            <w:r>
              <w:fldChar w:fldCharType="separate"/>
            </w:r>
            <w:r>
              <w:t>2</w:t>
            </w:r>
            <w:r>
              <w:fldChar w:fldCharType="end"/>
            </w:r>
          </w:hyperlink>
        </w:p>
        <w:p w:rsidR="009775C8" w:rsidRDefault="00000000">
          <w:pPr>
            <w:pStyle w:val="Inhopg1"/>
            <w:tabs>
              <w:tab w:val="right" w:pos="9072"/>
            </w:tabs>
          </w:pPr>
          <w:hyperlink w:anchor="_Toc11805">
            <w:r>
              <w:t>Hoofdstuk 1. Wedstrijd</w:t>
            </w:r>
            <w:r>
              <w:tab/>
            </w:r>
            <w:r>
              <w:fldChar w:fldCharType="begin"/>
            </w:r>
            <w:r>
              <w:instrText>PAGEREF _Toc11805 \h</w:instrText>
            </w:r>
            <w:r>
              <w:fldChar w:fldCharType="separate"/>
            </w:r>
            <w:r>
              <w:t>2</w:t>
            </w:r>
            <w:r>
              <w:fldChar w:fldCharType="end"/>
            </w:r>
          </w:hyperlink>
        </w:p>
        <w:p w:rsidR="009775C8" w:rsidRDefault="00000000">
          <w:pPr>
            <w:pStyle w:val="Inhopg3"/>
            <w:tabs>
              <w:tab w:val="right" w:pos="9072"/>
            </w:tabs>
          </w:pPr>
          <w:hyperlink w:anchor="_Toc11806">
            <w:r>
              <w:t>Artikel 1. Wedstrijd</w:t>
            </w:r>
            <w:r>
              <w:tab/>
            </w:r>
            <w:r>
              <w:fldChar w:fldCharType="begin"/>
            </w:r>
            <w:r>
              <w:instrText>PAGEREF _Toc11806 \h</w:instrText>
            </w:r>
            <w:r>
              <w:fldChar w:fldCharType="separate"/>
            </w:r>
            <w:r>
              <w:t>2</w:t>
            </w:r>
            <w:r>
              <w:fldChar w:fldCharType="end"/>
            </w:r>
          </w:hyperlink>
        </w:p>
        <w:p w:rsidR="009775C8" w:rsidRDefault="00000000">
          <w:pPr>
            <w:pStyle w:val="Inhopg1"/>
            <w:tabs>
              <w:tab w:val="right" w:pos="9072"/>
            </w:tabs>
          </w:pPr>
          <w:hyperlink w:anchor="_Toc11807">
            <w:r>
              <w:t>Hoofdstuk 2. Algemeen</w:t>
            </w:r>
            <w:r>
              <w:tab/>
            </w:r>
            <w:r>
              <w:fldChar w:fldCharType="begin"/>
            </w:r>
            <w:r>
              <w:instrText>PAGEREF _Toc11807 \h</w:instrText>
            </w:r>
            <w:r>
              <w:fldChar w:fldCharType="separate"/>
            </w:r>
            <w:r>
              <w:t>2</w:t>
            </w:r>
            <w:r>
              <w:fldChar w:fldCharType="end"/>
            </w:r>
          </w:hyperlink>
        </w:p>
        <w:p w:rsidR="009775C8" w:rsidRDefault="00000000">
          <w:pPr>
            <w:pStyle w:val="Inhopg2"/>
            <w:tabs>
              <w:tab w:val="right" w:pos="9072"/>
            </w:tabs>
          </w:pPr>
          <w:hyperlink w:anchor="_Toc11808">
            <w:r>
              <w:t>Artikel 2. Reglementen</w:t>
            </w:r>
            <w:r>
              <w:tab/>
            </w:r>
            <w:r>
              <w:fldChar w:fldCharType="begin"/>
            </w:r>
            <w:r>
              <w:instrText>PAGEREF _Toc11808 \h</w:instrText>
            </w:r>
            <w:r>
              <w:fldChar w:fldCharType="separate"/>
            </w:r>
            <w:r>
              <w:t>2</w:t>
            </w:r>
            <w:r>
              <w:fldChar w:fldCharType="end"/>
            </w:r>
          </w:hyperlink>
        </w:p>
        <w:p w:rsidR="009775C8" w:rsidRDefault="00000000">
          <w:pPr>
            <w:pStyle w:val="Inhopg2"/>
            <w:tabs>
              <w:tab w:val="right" w:pos="9072"/>
            </w:tabs>
          </w:pPr>
          <w:hyperlink w:anchor="_Toc11809">
            <w:r>
              <w:t>Artikel 3. Wedstrijdleiding</w:t>
            </w:r>
            <w:r>
              <w:tab/>
            </w:r>
            <w:r>
              <w:fldChar w:fldCharType="begin"/>
            </w:r>
            <w:r>
              <w:instrText>PAGEREF _Toc11809 \h</w:instrText>
            </w:r>
            <w:r>
              <w:fldChar w:fldCharType="separate"/>
            </w:r>
            <w:r>
              <w:t>2</w:t>
            </w:r>
            <w:r>
              <w:fldChar w:fldCharType="end"/>
            </w:r>
          </w:hyperlink>
        </w:p>
        <w:p w:rsidR="009775C8" w:rsidRDefault="00000000">
          <w:pPr>
            <w:pStyle w:val="Inhopg2"/>
            <w:tabs>
              <w:tab w:val="right" w:pos="9072"/>
            </w:tabs>
          </w:pPr>
          <w:hyperlink w:anchor="_Toc11810">
            <w:r>
              <w:t>Artikel 4. Bokalen</w:t>
            </w:r>
            <w:r>
              <w:tab/>
            </w:r>
            <w:r>
              <w:fldChar w:fldCharType="begin"/>
            </w:r>
            <w:r>
              <w:instrText>PAGEREF _Toc11810 \h</w:instrText>
            </w:r>
            <w:r>
              <w:fldChar w:fldCharType="separate"/>
            </w:r>
            <w:r>
              <w:t>2</w:t>
            </w:r>
            <w:r>
              <w:fldChar w:fldCharType="end"/>
            </w:r>
          </w:hyperlink>
        </w:p>
        <w:p w:rsidR="009775C8" w:rsidRDefault="00000000">
          <w:pPr>
            <w:pStyle w:val="Inhopg1"/>
            <w:tabs>
              <w:tab w:val="right" w:pos="9072"/>
            </w:tabs>
          </w:pPr>
          <w:hyperlink w:anchor="_Toc11811">
            <w:r>
              <w:t>Hoofdstuk 3. Inschrijfprocedure</w:t>
            </w:r>
            <w:r>
              <w:tab/>
            </w:r>
            <w:r>
              <w:fldChar w:fldCharType="begin"/>
            </w:r>
            <w:r>
              <w:instrText>PAGEREF _Toc11811 \h</w:instrText>
            </w:r>
            <w:r>
              <w:fldChar w:fldCharType="separate"/>
            </w:r>
            <w:r>
              <w:t>3</w:t>
            </w:r>
            <w:r>
              <w:fldChar w:fldCharType="end"/>
            </w:r>
          </w:hyperlink>
        </w:p>
        <w:p w:rsidR="009775C8" w:rsidRDefault="00000000">
          <w:pPr>
            <w:pStyle w:val="Inhopg3"/>
            <w:tabs>
              <w:tab w:val="right" w:pos="9072"/>
            </w:tabs>
          </w:pPr>
          <w:hyperlink w:anchor="_Toc11812">
            <w:r>
              <w:t>Artikel 5. Inschrijfprocedure</w:t>
            </w:r>
            <w:r>
              <w:tab/>
            </w:r>
            <w:r>
              <w:fldChar w:fldCharType="begin"/>
            </w:r>
            <w:r>
              <w:instrText>PAGEREF _Toc11812 \h</w:instrText>
            </w:r>
            <w:r>
              <w:fldChar w:fldCharType="separate"/>
            </w:r>
            <w:r>
              <w:t>3</w:t>
            </w:r>
            <w:r>
              <w:fldChar w:fldCharType="end"/>
            </w:r>
          </w:hyperlink>
        </w:p>
        <w:p w:rsidR="009775C8" w:rsidRDefault="00000000">
          <w:pPr>
            <w:pStyle w:val="Inhopg3"/>
            <w:tabs>
              <w:tab w:val="right" w:pos="9072"/>
            </w:tabs>
          </w:pPr>
          <w:hyperlink w:anchor="_Toc11813">
            <w:r>
              <w:t>Artikel 6. Inschrijfgelden</w:t>
            </w:r>
            <w:r>
              <w:tab/>
            </w:r>
            <w:r>
              <w:fldChar w:fldCharType="begin"/>
            </w:r>
            <w:r>
              <w:instrText>PAGEREF _Toc11813 \h</w:instrText>
            </w:r>
            <w:r>
              <w:fldChar w:fldCharType="separate"/>
            </w:r>
            <w:r>
              <w:t>3</w:t>
            </w:r>
            <w:r>
              <w:fldChar w:fldCharType="end"/>
            </w:r>
          </w:hyperlink>
        </w:p>
        <w:p w:rsidR="009775C8" w:rsidRDefault="00000000">
          <w:pPr>
            <w:pStyle w:val="Inhopg2"/>
            <w:tabs>
              <w:tab w:val="right" w:pos="9072"/>
            </w:tabs>
          </w:pPr>
          <w:hyperlink w:anchor="_Toc11814">
            <w:r>
              <w:t>Artikel 7. Loting</w:t>
            </w:r>
            <w:r>
              <w:tab/>
            </w:r>
            <w:r>
              <w:fldChar w:fldCharType="begin"/>
            </w:r>
            <w:r>
              <w:instrText>PAGEREF _Toc11814 \h</w:instrText>
            </w:r>
            <w:r>
              <w:fldChar w:fldCharType="separate"/>
            </w:r>
            <w:r>
              <w:t>3</w:t>
            </w:r>
            <w:r>
              <w:fldChar w:fldCharType="end"/>
            </w:r>
          </w:hyperlink>
        </w:p>
        <w:p w:rsidR="009775C8" w:rsidRDefault="00000000">
          <w:pPr>
            <w:pStyle w:val="Inhopg1"/>
            <w:tabs>
              <w:tab w:val="right" w:pos="9072"/>
            </w:tabs>
          </w:pPr>
          <w:hyperlink w:anchor="_Toc11815">
            <w:r>
              <w:t>Hoofdstuk 4. Deelname</w:t>
            </w:r>
            <w:r>
              <w:tab/>
            </w:r>
            <w:r>
              <w:fldChar w:fldCharType="begin"/>
            </w:r>
            <w:r>
              <w:instrText>PAGEREF _Toc11815 \h</w:instrText>
            </w:r>
            <w:r>
              <w:fldChar w:fldCharType="separate"/>
            </w:r>
            <w:r>
              <w:t>3</w:t>
            </w:r>
            <w:r>
              <w:fldChar w:fldCharType="end"/>
            </w:r>
          </w:hyperlink>
        </w:p>
        <w:p w:rsidR="009775C8" w:rsidRDefault="00000000">
          <w:pPr>
            <w:pStyle w:val="Inhopg2"/>
            <w:tabs>
              <w:tab w:val="right" w:pos="9072"/>
            </w:tabs>
          </w:pPr>
          <w:hyperlink w:anchor="_Toc11816">
            <w:r>
              <w:t>Artikel 8. Deelname</w:t>
            </w:r>
            <w:r>
              <w:tab/>
            </w:r>
            <w:r>
              <w:fldChar w:fldCharType="begin"/>
            </w:r>
            <w:r>
              <w:instrText>PAGEREF _Toc11816 \h</w:instrText>
            </w:r>
            <w:r>
              <w:fldChar w:fldCharType="separate"/>
            </w:r>
            <w:r>
              <w:t>3</w:t>
            </w:r>
            <w:r>
              <w:fldChar w:fldCharType="end"/>
            </w:r>
          </w:hyperlink>
        </w:p>
        <w:p w:rsidR="009775C8" w:rsidRDefault="00000000">
          <w:pPr>
            <w:pStyle w:val="Inhopg3"/>
            <w:tabs>
              <w:tab w:val="right" w:pos="9072"/>
            </w:tabs>
          </w:pPr>
          <w:hyperlink w:anchor="_Toc11817">
            <w:r>
              <w:t>Artikel 9. Aanmeldprocedure</w:t>
            </w:r>
            <w:r>
              <w:tab/>
            </w:r>
            <w:r>
              <w:fldChar w:fldCharType="begin"/>
            </w:r>
            <w:r>
              <w:instrText>PAGEREF _Toc11817 \h</w:instrText>
            </w:r>
            <w:r>
              <w:fldChar w:fldCharType="separate"/>
            </w:r>
            <w:r>
              <w:t>3</w:t>
            </w:r>
            <w:r>
              <w:fldChar w:fldCharType="end"/>
            </w:r>
          </w:hyperlink>
        </w:p>
        <w:p w:rsidR="009775C8" w:rsidRDefault="00000000">
          <w:pPr>
            <w:pStyle w:val="Inhopg2"/>
            <w:tabs>
              <w:tab w:val="right" w:pos="9072"/>
            </w:tabs>
          </w:pPr>
          <w:hyperlink w:anchor="_Toc11818">
            <w:r>
              <w:t>Artikel 10. Vlotprocedure</w:t>
            </w:r>
            <w:r>
              <w:tab/>
            </w:r>
            <w:r>
              <w:fldChar w:fldCharType="begin"/>
            </w:r>
            <w:r>
              <w:instrText>PAGEREF _Toc11818 \h</w:instrText>
            </w:r>
            <w:r>
              <w:fldChar w:fldCharType="separate"/>
            </w:r>
            <w:r>
              <w:t>3</w:t>
            </w:r>
            <w:r>
              <w:fldChar w:fldCharType="end"/>
            </w:r>
          </w:hyperlink>
        </w:p>
        <w:p w:rsidR="009775C8" w:rsidRDefault="00000000">
          <w:pPr>
            <w:pStyle w:val="Inhopg3"/>
            <w:tabs>
              <w:tab w:val="right" w:pos="9072"/>
            </w:tabs>
          </w:pPr>
          <w:hyperlink w:anchor="_Toc11819">
            <w:r>
              <w:t>Artikel 11. Op- en uitroeiprocedure</w:t>
            </w:r>
            <w:r>
              <w:tab/>
            </w:r>
            <w:r>
              <w:fldChar w:fldCharType="begin"/>
            </w:r>
            <w:r>
              <w:instrText>PAGEREF _Toc11819 \h</w:instrText>
            </w:r>
            <w:r>
              <w:fldChar w:fldCharType="separate"/>
            </w:r>
            <w:r>
              <w:t>4</w:t>
            </w:r>
            <w:r>
              <w:fldChar w:fldCharType="end"/>
            </w:r>
          </w:hyperlink>
        </w:p>
        <w:p w:rsidR="009775C8" w:rsidRDefault="00000000">
          <w:pPr>
            <w:pStyle w:val="Inhopg2"/>
            <w:tabs>
              <w:tab w:val="right" w:pos="9072"/>
            </w:tabs>
          </w:pPr>
          <w:hyperlink w:anchor="_Toc11820">
            <w:r>
              <w:t>Artikel 12. Race</w:t>
            </w:r>
            <w:r>
              <w:tab/>
            </w:r>
            <w:r>
              <w:fldChar w:fldCharType="begin"/>
            </w:r>
            <w:r>
              <w:instrText>PAGEREF _Toc11820 \h</w:instrText>
            </w:r>
            <w:r>
              <w:fldChar w:fldCharType="separate"/>
            </w:r>
            <w:r>
              <w:t>4</w:t>
            </w:r>
            <w:r>
              <w:fldChar w:fldCharType="end"/>
            </w:r>
          </w:hyperlink>
        </w:p>
        <w:p w:rsidR="009775C8" w:rsidRDefault="00000000">
          <w:pPr>
            <w:pStyle w:val="Inhopg1"/>
            <w:tabs>
              <w:tab w:val="right" w:pos="9072"/>
            </w:tabs>
          </w:pPr>
          <w:hyperlink w:anchor="_Toc11821">
            <w:r>
              <w:t>Hoofdstuk 5. Protestregelingen</w:t>
            </w:r>
            <w:r>
              <w:tab/>
            </w:r>
            <w:r>
              <w:fldChar w:fldCharType="begin"/>
            </w:r>
            <w:r>
              <w:instrText>PAGEREF _Toc11821 \h</w:instrText>
            </w:r>
            <w:r>
              <w:fldChar w:fldCharType="separate"/>
            </w:r>
            <w:r>
              <w:t>4</w:t>
            </w:r>
            <w:r>
              <w:fldChar w:fldCharType="end"/>
            </w:r>
          </w:hyperlink>
        </w:p>
        <w:p w:rsidR="009775C8" w:rsidRDefault="00000000">
          <w:pPr>
            <w:pStyle w:val="Inhopg2"/>
            <w:tabs>
              <w:tab w:val="right" w:pos="9072"/>
            </w:tabs>
          </w:pPr>
          <w:hyperlink w:anchor="_Toc11822">
            <w:r>
              <w:t>Artikel 13. Protest</w:t>
            </w:r>
            <w:r>
              <w:tab/>
            </w:r>
            <w:r>
              <w:fldChar w:fldCharType="begin"/>
            </w:r>
            <w:r>
              <w:instrText>PAGEREF _Toc11822 \h</w:instrText>
            </w:r>
            <w:r>
              <w:fldChar w:fldCharType="separate"/>
            </w:r>
            <w:r>
              <w:t>4</w:t>
            </w:r>
            <w:r>
              <w:fldChar w:fldCharType="end"/>
            </w:r>
          </w:hyperlink>
        </w:p>
        <w:p w:rsidR="009775C8" w:rsidRDefault="00000000">
          <w:pPr>
            <w:pStyle w:val="Inhopg1"/>
            <w:tabs>
              <w:tab w:val="right" w:pos="9072"/>
            </w:tabs>
          </w:pPr>
          <w:hyperlink w:anchor="_Toc11823">
            <w:r>
              <w:t>Hoofdstuk 6. Slotbepalingen</w:t>
            </w:r>
            <w:r>
              <w:tab/>
            </w:r>
            <w:r>
              <w:fldChar w:fldCharType="begin"/>
            </w:r>
            <w:r>
              <w:instrText>PAGEREF _Toc11823 \h</w:instrText>
            </w:r>
            <w:r>
              <w:fldChar w:fldCharType="separate"/>
            </w:r>
            <w:r>
              <w:t>4</w:t>
            </w:r>
            <w:r>
              <w:fldChar w:fldCharType="end"/>
            </w:r>
          </w:hyperlink>
        </w:p>
        <w:p w:rsidR="009775C8" w:rsidRDefault="00000000">
          <w:pPr>
            <w:pStyle w:val="Inhopg2"/>
            <w:tabs>
              <w:tab w:val="right" w:pos="9072"/>
            </w:tabs>
          </w:pPr>
          <w:hyperlink w:anchor="_Toc11824">
            <w:r>
              <w:t>Artikel 14. Boeteclausule</w:t>
            </w:r>
            <w:r>
              <w:tab/>
            </w:r>
            <w:r>
              <w:fldChar w:fldCharType="begin"/>
            </w:r>
            <w:r>
              <w:instrText>PAGEREF _Toc11824 \h</w:instrText>
            </w:r>
            <w:r>
              <w:fldChar w:fldCharType="separate"/>
            </w:r>
            <w:r>
              <w:t>4</w:t>
            </w:r>
            <w:r>
              <w:fldChar w:fldCharType="end"/>
            </w:r>
          </w:hyperlink>
        </w:p>
        <w:p w:rsidR="009775C8" w:rsidRDefault="00000000">
          <w:pPr>
            <w:pStyle w:val="Inhopg2"/>
            <w:tabs>
              <w:tab w:val="right" w:pos="9072"/>
            </w:tabs>
          </w:pPr>
          <w:hyperlink w:anchor="_Toc11825">
            <w:r>
              <w:t>Artikel 15. Disciplinaire maatregelen</w:t>
            </w:r>
            <w:r>
              <w:tab/>
            </w:r>
            <w:r>
              <w:fldChar w:fldCharType="begin"/>
            </w:r>
            <w:r>
              <w:instrText>PAGEREF _Toc11825 \h</w:instrText>
            </w:r>
            <w:r>
              <w:fldChar w:fldCharType="separate"/>
            </w:r>
            <w:r>
              <w:t>4</w:t>
            </w:r>
            <w:r>
              <w:fldChar w:fldCharType="end"/>
            </w:r>
          </w:hyperlink>
        </w:p>
        <w:p w:rsidR="009775C8" w:rsidRDefault="00000000">
          <w:pPr>
            <w:pStyle w:val="Inhopg2"/>
            <w:tabs>
              <w:tab w:val="right" w:pos="9072"/>
            </w:tabs>
          </w:pPr>
          <w:hyperlink w:anchor="_Toc11826">
            <w:r>
              <w:t>Artikel 16. Onvoorziene omstandigheden</w:t>
            </w:r>
            <w:r>
              <w:tab/>
            </w:r>
            <w:r>
              <w:fldChar w:fldCharType="begin"/>
            </w:r>
            <w:r>
              <w:instrText>PAGEREF _Toc11826 \h</w:instrText>
            </w:r>
            <w:r>
              <w:fldChar w:fldCharType="separate"/>
            </w:r>
            <w:r>
              <w:t>4</w:t>
            </w:r>
            <w:r>
              <w:fldChar w:fldCharType="end"/>
            </w:r>
          </w:hyperlink>
        </w:p>
        <w:p w:rsidR="009775C8" w:rsidRDefault="00000000">
          <w:pPr>
            <w:pStyle w:val="Inhopg2"/>
            <w:tabs>
              <w:tab w:val="right" w:pos="9072"/>
            </w:tabs>
          </w:pPr>
          <w:hyperlink w:anchor="_Toc11827">
            <w:r>
              <w:t>Artikel 17. Schade en letsel</w:t>
            </w:r>
            <w:r>
              <w:tab/>
            </w:r>
            <w:r>
              <w:fldChar w:fldCharType="begin"/>
            </w:r>
            <w:r>
              <w:instrText>PAGEREF _Toc11827 \h</w:instrText>
            </w:r>
            <w:r>
              <w:fldChar w:fldCharType="separate"/>
            </w:r>
            <w:r>
              <w:t>4</w:t>
            </w:r>
            <w:r>
              <w:fldChar w:fldCharType="end"/>
            </w:r>
          </w:hyperlink>
        </w:p>
        <w:p w:rsidR="009775C8" w:rsidRDefault="00000000">
          <w:pPr>
            <w:pStyle w:val="Inhopg2"/>
            <w:tabs>
              <w:tab w:val="right" w:pos="9072"/>
            </w:tabs>
          </w:pPr>
          <w:hyperlink w:anchor="_Toc11828">
            <w:r>
              <w:t>Artikel 18. Bepalingen bokaal</w:t>
            </w:r>
            <w:r>
              <w:tab/>
            </w:r>
            <w:r>
              <w:fldChar w:fldCharType="begin"/>
            </w:r>
            <w:r>
              <w:instrText>PAGEREF _Toc11828 \h</w:instrText>
            </w:r>
            <w:r>
              <w:fldChar w:fldCharType="separate"/>
            </w:r>
            <w:r>
              <w:t>4</w:t>
            </w:r>
            <w:r>
              <w:fldChar w:fldCharType="end"/>
            </w:r>
          </w:hyperlink>
        </w:p>
        <w:p w:rsidR="009775C8" w:rsidRDefault="00000000">
          <w:r>
            <w:fldChar w:fldCharType="end"/>
          </w:r>
        </w:p>
      </w:sdtContent>
    </w:sdt>
    <w:p w:rsidR="009775C8" w:rsidRDefault="00000000">
      <w:pPr>
        <w:pStyle w:val="Kop1"/>
        <w:ind w:left="-5"/>
      </w:pPr>
      <w:bookmarkStart w:id="0" w:name="_Toc11803"/>
      <w:r>
        <w:t>Begripsbepalingen</w:t>
      </w:r>
      <w:bookmarkEnd w:id="0"/>
    </w:p>
    <w:p w:rsidR="009775C8" w:rsidRDefault="00000000">
      <w:pPr>
        <w:pStyle w:val="Kop2"/>
        <w:spacing w:after="274"/>
        <w:ind w:left="-5"/>
      </w:pPr>
      <w:bookmarkStart w:id="1" w:name="_Toc11804"/>
      <w:r>
        <w:t>Competitieroeiers</w:t>
      </w:r>
      <w:bookmarkEnd w:id="1"/>
    </w:p>
    <w:p w:rsidR="009775C8" w:rsidRDefault="00000000">
      <w:pPr>
        <w:spacing w:after="283"/>
        <w:ind w:right="16"/>
      </w:pPr>
      <w:r>
        <w:t xml:space="preserve">In een competitieveld mogen alleen competitieroeiers starten zoals omschreven in </w:t>
      </w:r>
      <w:r>
        <w:rPr>
          <w:b/>
        </w:rPr>
        <w:t xml:space="preserve">Art. 14 </w:t>
      </w:r>
      <w:r>
        <w:t xml:space="preserve">Reglement voor Roeien </w:t>
      </w:r>
      <w:r>
        <w:rPr>
          <w:b/>
        </w:rPr>
        <w:t>(RvR)</w:t>
      </w:r>
      <w:r>
        <w:t>.</w:t>
      </w:r>
    </w:p>
    <w:p w:rsidR="009775C8" w:rsidRDefault="00000000">
      <w:pPr>
        <w:pStyle w:val="Kop1"/>
        <w:ind w:left="-5"/>
      </w:pPr>
      <w:bookmarkStart w:id="2" w:name="_Toc11805"/>
      <w:r>
        <w:lastRenderedPageBreak/>
        <w:t>Hoofdstuk 1. Wedstrijd</w:t>
      </w:r>
      <w:bookmarkEnd w:id="2"/>
    </w:p>
    <w:p w:rsidR="009775C8" w:rsidRDefault="00000000">
      <w:pPr>
        <w:pStyle w:val="Kop3"/>
        <w:ind w:left="-5"/>
      </w:pPr>
      <w:bookmarkStart w:id="3" w:name="_Toc11806"/>
      <w:r>
        <w:t xml:space="preserve"> Artikel 1. Wedstrijd</w:t>
      </w:r>
      <w:bookmarkEnd w:id="3"/>
    </w:p>
    <w:p w:rsidR="009775C8" w:rsidRDefault="00000000">
      <w:pPr>
        <w:numPr>
          <w:ilvl w:val="0"/>
          <w:numId w:val="1"/>
        </w:numPr>
        <w:ind w:right="16" w:hanging="405"/>
      </w:pPr>
      <w:r>
        <w:t>De Heineken Okeanos Competitie Tweekamp 2024 is een boord-aan-boord tweekamp over 500 meter en 1000 meter óf 500 meter en 2000 meter op 8 en 9 juni 2024 op een 6-baans wedstrijdbaan.</w:t>
      </w:r>
    </w:p>
    <w:p w:rsidR="009775C8" w:rsidRDefault="00000000">
      <w:pPr>
        <w:numPr>
          <w:ilvl w:val="0"/>
          <w:numId w:val="1"/>
        </w:numPr>
        <w:ind w:right="16" w:hanging="405"/>
      </w:pPr>
      <w:r>
        <w:t>In tabel 1 zijn de velden en de bijbehorende afstanden te vinden.</w:t>
      </w:r>
    </w:p>
    <w:tbl>
      <w:tblPr>
        <w:tblStyle w:val="TableGrid"/>
        <w:tblW w:w="9060" w:type="dxa"/>
        <w:tblInd w:w="-7" w:type="dxa"/>
        <w:tblCellMar>
          <w:top w:w="62" w:type="dxa"/>
          <w:left w:w="102" w:type="dxa"/>
          <w:bottom w:w="0" w:type="dxa"/>
          <w:right w:w="115" w:type="dxa"/>
        </w:tblCellMar>
        <w:tblLook w:val="04A0" w:firstRow="1" w:lastRow="0" w:firstColumn="1" w:lastColumn="0" w:noHBand="0" w:noVBand="1"/>
      </w:tblPr>
      <w:tblGrid>
        <w:gridCol w:w="3200"/>
        <w:gridCol w:w="3080"/>
        <w:gridCol w:w="2780"/>
      </w:tblGrid>
      <w:tr w:rsidR="009775C8">
        <w:trPr>
          <w:trHeight w:val="260"/>
        </w:trPr>
        <w:tc>
          <w:tcPr>
            <w:tcW w:w="3200" w:type="dxa"/>
            <w:tcBorders>
              <w:top w:val="single" w:sz="8" w:space="0" w:color="000000"/>
              <w:left w:val="single" w:sz="8" w:space="0" w:color="000000"/>
              <w:bottom w:val="single" w:sz="8" w:space="0" w:color="000000"/>
              <w:right w:val="single" w:sz="8" w:space="0" w:color="000000"/>
            </w:tcBorders>
          </w:tcPr>
          <w:p w:rsidR="009775C8" w:rsidRDefault="00000000">
            <w:pPr>
              <w:spacing w:after="0" w:line="259" w:lineRule="auto"/>
              <w:ind w:firstLine="0"/>
            </w:pPr>
            <w:r>
              <w:rPr>
                <w:b/>
              </w:rPr>
              <w:t>Veld</w:t>
            </w:r>
          </w:p>
        </w:tc>
        <w:tc>
          <w:tcPr>
            <w:tcW w:w="3080" w:type="dxa"/>
            <w:tcBorders>
              <w:top w:val="single" w:sz="8" w:space="0" w:color="000000"/>
              <w:left w:val="single" w:sz="8" w:space="0" w:color="000000"/>
              <w:bottom w:val="single" w:sz="8" w:space="0" w:color="000000"/>
              <w:right w:val="single" w:sz="8" w:space="0" w:color="000000"/>
            </w:tcBorders>
          </w:tcPr>
          <w:p w:rsidR="009775C8" w:rsidRDefault="00000000">
            <w:pPr>
              <w:spacing w:after="0" w:line="259" w:lineRule="auto"/>
              <w:ind w:left="5" w:firstLine="0"/>
            </w:pPr>
            <w:r>
              <w:rPr>
                <w:b/>
              </w:rPr>
              <w:t>Voorwedstrijd</w:t>
            </w:r>
          </w:p>
        </w:tc>
        <w:tc>
          <w:tcPr>
            <w:tcW w:w="2780" w:type="dxa"/>
            <w:tcBorders>
              <w:top w:val="single" w:sz="8" w:space="0" w:color="000000"/>
              <w:left w:val="single" w:sz="8" w:space="0" w:color="000000"/>
              <w:bottom w:val="single" w:sz="8" w:space="0" w:color="000000"/>
              <w:right w:val="single" w:sz="8" w:space="0" w:color="000000"/>
            </w:tcBorders>
          </w:tcPr>
          <w:p w:rsidR="009775C8" w:rsidRDefault="00000000">
            <w:pPr>
              <w:spacing w:after="0" w:line="259" w:lineRule="auto"/>
              <w:ind w:left="0" w:firstLine="0"/>
            </w:pPr>
            <w:r>
              <w:rPr>
                <w:b/>
              </w:rPr>
              <w:t>Finale</w:t>
            </w:r>
          </w:p>
        </w:tc>
      </w:tr>
      <w:tr w:rsidR="009775C8">
        <w:trPr>
          <w:trHeight w:val="260"/>
        </w:trPr>
        <w:tc>
          <w:tcPr>
            <w:tcW w:w="3200" w:type="dxa"/>
            <w:tcBorders>
              <w:top w:val="single" w:sz="8" w:space="0" w:color="000000"/>
              <w:left w:val="single" w:sz="8" w:space="0" w:color="000000"/>
              <w:bottom w:val="single" w:sz="8" w:space="0" w:color="000000"/>
              <w:right w:val="single" w:sz="8" w:space="0" w:color="000000"/>
            </w:tcBorders>
          </w:tcPr>
          <w:p w:rsidR="009775C8" w:rsidRDefault="00000000">
            <w:pPr>
              <w:spacing w:after="0" w:line="259" w:lineRule="auto"/>
              <w:ind w:firstLine="0"/>
            </w:pPr>
            <w:r>
              <w:t>Stuurboord onervaren C4+</w:t>
            </w:r>
          </w:p>
        </w:tc>
        <w:tc>
          <w:tcPr>
            <w:tcW w:w="3080" w:type="dxa"/>
            <w:tcBorders>
              <w:top w:val="single" w:sz="8" w:space="0" w:color="000000"/>
              <w:left w:val="single" w:sz="8" w:space="0" w:color="000000"/>
              <w:bottom w:val="single" w:sz="8" w:space="0" w:color="000000"/>
              <w:right w:val="single" w:sz="8" w:space="0" w:color="000000"/>
            </w:tcBorders>
          </w:tcPr>
          <w:p w:rsidR="009775C8" w:rsidRDefault="00000000">
            <w:pPr>
              <w:spacing w:after="0" w:line="259" w:lineRule="auto"/>
              <w:ind w:left="5" w:firstLine="0"/>
            </w:pPr>
            <w:r>
              <w:t>500</w:t>
            </w:r>
          </w:p>
        </w:tc>
        <w:tc>
          <w:tcPr>
            <w:tcW w:w="2780" w:type="dxa"/>
            <w:tcBorders>
              <w:top w:val="single" w:sz="8" w:space="0" w:color="000000"/>
              <w:left w:val="single" w:sz="8" w:space="0" w:color="000000"/>
              <w:bottom w:val="single" w:sz="8" w:space="0" w:color="000000"/>
              <w:right w:val="single" w:sz="8" w:space="0" w:color="000000"/>
            </w:tcBorders>
          </w:tcPr>
          <w:p w:rsidR="009775C8" w:rsidRDefault="00000000">
            <w:pPr>
              <w:spacing w:after="0" w:line="259" w:lineRule="auto"/>
              <w:ind w:left="0" w:firstLine="0"/>
            </w:pPr>
            <w:r>
              <w:t>1000</w:t>
            </w:r>
          </w:p>
        </w:tc>
      </w:tr>
      <w:tr w:rsidR="009775C8">
        <w:trPr>
          <w:trHeight w:val="260"/>
        </w:trPr>
        <w:tc>
          <w:tcPr>
            <w:tcW w:w="3200" w:type="dxa"/>
            <w:tcBorders>
              <w:top w:val="single" w:sz="8" w:space="0" w:color="000000"/>
              <w:left w:val="single" w:sz="8" w:space="0" w:color="000000"/>
              <w:bottom w:val="single" w:sz="8" w:space="0" w:color="000000"/>
              <w:right w:val="single" w:sz="8" w:space="0" w:color="000000"/>
            </w:tcBorders>
          </w:tcPr>
          <w:p w:rsidR="009775C8" w:rsidRDefault="00000000">
            <w:pPr>
              <w:spacing w:after="0" w:line="259" w:lineRule="auto"/>
              <w:ind w:firstLine="0"/>
            </w:pPr>
            <w:r>
              <w:t>Overige C4+ velden</w:t>
            </w:r>
          </w:p>
        </w:tc>
        <w:tc>
          <w:tcPr>
            <w:tcW w:w="3080" w:type="dxa"/>
            <w:tcBorders>
              <w:top w:val="single" w:sz="8" w:space="0" w:color="000000"/>
              <w:left w:val="single" w:sz="8" w:space="0" w:color="000000"/>
              <w:bottom w:val="single" w:sz="8" w:space="0" w:color="000000"/>
              <w:right w:val="single" w:sz="8" w:space="0" w:color="000000"/>
            </w:tcBorders>
          </w:tcPr>
          <w:p w:rsidR="009775C8" w:rsidRDefault="00000000">
            <w:pPr>
              <w:spacing w:after="0" w:line="259" w:lineRule="auto"/>
              <w:ind w:left="5" w:firstLine="0"/>
            </w:pPr>
            <w:r>
              <w:t>500</w:t>
            </w:r>
          </w:p>
        </w:tc>
        <w:tc>
          <w:tcPr>
            <w:tcW w:w="2780" w:type="dxa"/>
            <w:tcBorders>
              <w:top w:val="single" w:sz="8" w:space="0" w:color="000000"/>
              <w:left w:val="single" w:sz="8" w:space="0" w:color="000000"/>
              <w:bottom w:val="single" w:sz="8" w:space="0" w:color="000000"/>
              <w:right w:val="single" w:sz="8" w:space="0" w:color="000000"/>
            </w:tcBorders>
          </w:tcPr>
          <w:p w:rsidR="009775C8" w:rsidRDefault="00000000">
            <w:pPr>
              <w:spacing w:after="0" w:line="259" w:lineRule="auto"/>
              <w:ind w:left="0" w:firstLine="0"/>
            </w:pPr>
            <w:r>
              <w:t>1000</w:t>
            </w:r>
          </w:p>
        </w:tc>
      </w:tr>
      <w:tr w:rsidR="009775C8">
        <w:trPr>
          <w:trHeight w:val="260"/>
        </w:trPr>
        <w:tc>
          <w:tcPr>
            <w:tcW w:w="3200" w:type="dxa"/>
            <w:tcBorders>
              <w:top w:val="single" w:sz="8" w:space="0" w:color="000000"/>
              <w:left w:val="single" w:sz="8" w:space="0" w:color="000000"/>
              <w:bottom w:val="single" w:sz="8" w:space="0" w:color="000000"/>
              <w:right w:val="single" w:sz="8" w:space="0" w:color="000000"/>
            </w:tcBorders>
          </w:tcPr>
          <w:p w:rsidR="009775C8" w:rsidRDefault="00000000">
            <w:pPr>
              <w:spacing w:after="0" w:line="259" w:lineRule="auto"/>
              <w:ind w:firstLine="0"/>
            </w:pPr>
            <w:r>
              <w:t>4+ (incl. vlietbokaal)</w:t>
            </w:r>
          </w:p>
        </w:tc>
        <w:tc>
          <w:tcPr>
            <w:tcW w:w="3080" w:type="dxa"/>
            <w:tcBorders>
              <w:top w:val="single" w:sz="8" w:space="0" w:color="000000"/>
              <w:left w:val="single" w:sz="8" w:space="0" w:color="000000"/>
              <w:bottom w:val="single" w:sz="8" w:space="0" w:color="000000"/>
              <w:right w:val="single" w:sz="8" w:space="0" w:color="000000"/>
            </w:tcBorders>
          </w:tcPr>
          <w:p w:rsidR="009775C8" w:rsidRDefault="00000000">
            <w:pPr>
              <w:spacing w:after="0" w:line="259" w:lineRule="auto"/>
              <w:ind w:left="5" w:firstLine="0"/>
            </w:pPr>
            <w:r>
              <w:t>500</w:t>
            </w:r>
          </w:p>
        </w:tc>
        <w:tc>
          <w:tcPr>
            <w:tcW w:w="2780" w:type="dxa"/>
            <w:tcBorders>
              <w:top w:val="single" w:sz="8" w:space="0" w:color="000000"/>
              <w:left w:val="single" w:sz="8" w:space="0" w:color="000000"/>
              <w:bottom w:val="single" w:sz="8" w:space="0" w:color="000000"/>
              <w:right w:val="single" w:sz="8" w:space="0" w:color="000000"/>
            </w:tcBorders>
          </w:tcPr>
          <w:p w:rsidR="009775C8" w:rsidRDefault="00000000">
            <w:pPr>
              <w:spacing w:after="0" w:line="259" w:lineRule="auto"/>
              <w:ind w:left="0" w:firstLine="0"/>
            </w:pPr>
            <w:r>
              <w:t>2000</w:t>
            </w:r>
          </w:p>
        </w:tc>
      </w:tr>
      <w:tr w:rsidR="009775C8">
        <w:trPr>
          <w:trHeight w:val="260"/>
        </w:trPr>
        <w:tc>
          <w:tcPr>
            <w:tcW w:w="3200" w:type="dxa"/>
            <w:tcBorders>
              <w:top w:val="single" w:sz="8" w:space="0" w:color="000000"/>
              <w:left w:val="single" w:sz="8" w:space="0" w:color="000000"/>
              <w:bottom w:val="single" w:sz="8" w:space="0" w:color="000000"/>
              <w:right w:val="single" w:sz="8" w:space="0" w:color="000000"/>
            </w:tcBorders>
          </w:tcPr>
          <w:p w:rsidR="009775C8" w:rsidRDefault="00000000">
            <w:pPr>
              <w:spacing w:after="0" w:line="259" w:lineRule="auto"/>
              <w:ind w:firstLine="0"/>
            </w:pPr>
            <w:r>
              <w:t>8+ (incl. sprint- &amp; kruithuisbokaal)</w:t>
            </w:r>
          </w:p>
        </w:tc>
        <w:tc>
          <w:tcPr>
            <w:tcW w:w="3080" w:type="dxa"/>
            <w:tcBorders>
              <w:top w:val="single" w:sz="8" w:space="0" w:color="000000"/>
              <w:left w:val="single" w:sz="8" w:space="0" w:color="000000"/>
              <w:bottom w:val="single" w:sz="8" w:space="0" w:color="000000"/>
              <w:right w:val="single" w:sz="8" w:space="0" w:color="000000"/>
            </w:tcBorders>
          </w:tcPr>
          <w:p w:rsidR="009775C8" w:rsidRDefault="00000000">
            <w:pPr>
              <w:spacing w:after="0" w:line="259" w:lineRule="auto"/>
              <w:ind w:left="5" w:firstLine="0"/>
            </w:pPr>
            <w:r>
              <w:t>500</w:t>
            </w:r>
          </w:p>
        </w:tc>
        <w:tc>
          <w:tcPr>
            <w:tcW w:w="2780" w:type="dxa"/>
            <w:tcBorders>
              <w:top w:val="single" w:sz="8" w:space="0" w:color="000000"/>
              <w:left w:val="single" w:sz="8" w:space="0" w:color="000000"/>
              <w:bottom w:val="single" w:sz="8" w:space="0" w:color="000000"/>
              <w:right w:val="single" w:sz="8" w:space="0" w:color="000000"/>
            </w:tcBorders>
          </w:tcPr>
          <w:p w:rsidR="009775C8" w:rsidRDefault="00000000">
            <w:pPr>
              <w:spacing w:after="0" w:line="259" w:lineRule="auto"/>
              <w:ind w:left="0" w:firstLine="0"/>
            </w:pPr>
            <w:r>
              <w:t>2000</w:t>
            </w:r>
          </w:p>
        </w:tc>
      </w:tr>
      <w:tr w:rsidR="009775C8">
        <w:trPr>
          <w:trHeight w:val="260"/>
        </w:trPr>
        <w:tc>
          <w:tcPr>
            <w:tcW w:w="3200" w:type="dxa"/>
            <w:tcBorders>
              <w:top w:val="single" w:sz="8" w:space="0" w:color="000000"/>
              <w:left w:val="single" w:sz="8" w:space="0" w:color="000000"/>
              <w:bottom w:val="single" w:sz="8" w:space="0" w:color="000000"/>
              <w:right w:val="single" w:sz="8" w:space="0" w:color="000000"/>
            </w:tcBorders>
          </w:tcPr>
          <w:p w:rsidR="009775C8" w:rsidRDefault="00000000">
            <w:pPr>
              <w:spacing w:after="0" w:line="259" w:lineRule="auto"/>
              <w:ind w:firstLine="0"/>
            </w:pPr>
            <w:r>
              <w:t>4* (incl. bokaal der quadruples)</w:t>
            </w:r>
          </w:p>
        </w:tc>
        <w:tc>
          <w:tcPr>
            <w:tcW w:w="3080" w:type="dxa"/>
            <w:tcBorders>
              <w:top w:val="single" w:sz="8" w:space="0" w:color="000000"/>
              <w:left w:val="single" w:sz="8" w:space="0" w:color="000000"/>
              <w:bottom w:val="single" w:sz="8" w:space="0" w:color="000000"/>
              <w:right w:val="single" w:sz="8" w:space="0" w:color="000000"/>
            </w:tcBorders>
          </w:tcPr>
          <w:p w:rsidR="009775C8" w:rsidRDefault="00000000">
            <w:pPr>
              <w:spacing w:after="0" w:line="259" w:lineRule="auto"/>
              <w:ind w:left="5" w:firstLine="0"/>
            </w:pPr>
            <w:r>
              <w:t>500</w:t>
            </w:r>
          </w:p>
        </w:tc>
        <w:tc>
          <w:tcPr>
            <w:tcW w:w="2780" w:type="dxa"/>
            <w:tcBorders>
              <w:top w:val="single" w:sz="8" w:space="0" w:color="000000"/>
              <w:left w:val="single" w:sz="8" w:space="0" w:color="000000"/>
              <w:bottom w:val="single" w:sz="8" w:space="0" w:color="000000"/>
              <w:right w:val="single" w:sz="8" w:space="0" w:color="000000"/>
            </w:tcBorders>
          </w:tcPr>
          <w:p w:rsidR="009775C8" w:rsidRDefault="00000000">
            <w:pPr>
              <w:spacing w:after="0" w:line="259" w:lineRule="auto"/>
              <w:ind w:left="0" w:firstLine="0"/>
            </w:pPr>
            <w:r>
              <w:t>2000</w:t>
            </w:r>
          </w:p>
        </w:tc>
      </w:tr>
      <w:tr w:rsidR="009775C8">
        <w:trPr>
          <w:trHeight w:val="260"/>
        </w:trPr>
        <w:tc>
          <w:tcPr>
            <w:tcW w:w="3200" w:type="dxa"/>
            <w:tcBorders>
              <w:top w:val="single" w:sz="8" w:space="0" w:color="000000"/>
              <w:left w:val="single" w:sz="8" w:space="0" w:color="000000"/>
              <w:bottom w:val="single" w:sz="8" w:space="0" w:color="000000"/>
              <w:right w:val="single" w:sz="8" w:space="0" w:color="000000"/>
            </w:tcBorders>
          </w:tcPr>
          <w:p w:rsidR="009775C8" w:rsidRDefault="00000000">
            <w:pPr>
              <w:spacing w:after="0" w:line="259" w:lineRule="auto"/>
              <w:ind w:firstLine="0"/>
            </w:pPr>
            <w:r>
              <w:t>2x (incl. mix2xbokaal)</w:t>
            </w:r>
          </w:p>
        </w:tc>
        <w:tc>
          <w:tcPr>
            <w:tcW w:w="3080" w:type="dxa"/>
            <w:tcBorders>
              <w:top w:val="single" w:sz="8" w:space="0" w:color="000000"/>
              <w:left w:val="single" w:sz="8" w:space="0" w:color="000000"/>
              <w:bottom w:val="single" w:sz="8" w:space="0" w:color="000000"/>
              <w:right w:val="single" w:sz="8" w:space="0" w:color="000000"/>
            </w:tcBorders>
          </w:tcPr>
          <w:p w:rsidR="009775C8" w:rsidRDefault="00000000">
            <w:pPr>
              <w:spacing w:after="0" w:line="259" w:lineRule="auto"/>
              <w:ind w:left="5" w:firstLine="0"/>
            </w:pPr>
            <w:r>
              <w:t>500</w:t>
            </w:r>
          </w:p>
        </w:tc>
        <w:tc>
          <w:tcPr>
            <w:tcW w:w="2780" w:type="dxa"/>
            <w:tcBorders>
              <w:top w:val="single" w:sz="8" w:space="0" w:color="000000"/>
              <w:left w:val="single" w:sz="8" w:space="0" w:color="000000"/>
              <w:bottom w:val="single" w:sz="8" w:space="0" w:color="000000"/>
              <w:right w:val="single" w:sz="8" w:space="0" w:color="000000"/>
            </w:tcBorders>
          </w:tcPr>
          <w:p w:rsidR="009775C8" w:rsidRDefault="00000000">
            <w:pPr>
              <w:spacing w:after="0" w:line="259" w:lineRule="auto"/>
              <w:ind w:left="0" w:firstLine="0"/>
            </w:pPr>
            <w:r>
              <w:t>2000</w:t>
            </w:r>
          </w:p>
        </w:tc>
      </w:tr>
      <w:tr w:rsidR="009775C8">
        <w:trPr>
          <w:trHeight w:val="260"/>
        </w:trPr>
        <w:tc>
          <w:tcPr>
            <w:tcW w:w="3200" w:type="dxa"/>
            <w:tcBorders>
              <w:top w:val="single" w:sz="8" w:space="0" w:color="000000"/>
              <w:left w:val="single" w:sz="8" w:space="0" w:color="000000"/>
              <w:bottom w:val="single" w:sz="8" w:space="0" w:color="000000"/>
              <w:right w:val="single" w:sz="8" w:space="0" w:color="000000"/>
            </w:tcBorders>
          </w:tcPr>
          <w:p w:rsidR="009775C8" w:rsidRDefault="00000000">
            <w:pPr>
              <w:spacing w:after="0" w:line="259" w:lineRule="auto"/>
              <w:ind w:firstLine="0"/>
            </w:pPr>
            <w:r>
              <w:t>1x</w:t>
            </w:r>
          </w:p>
        </w:tc>
        <w:tc>
          <w:tcPr>
            <w:tcW w:w="3080" w:type="dxa"/>
            <w:tcBorders>
              <w:top w:val="single" w:sz="8" w:space="0" w:color="000000"/>
              <w:left w:val="single" w:sz="8" w:space="0" w:color="000000"/>
              <w:bottom w:val="single" w:sz="8" w:space="0" w:color="000000"/>
              <w:right w:val="single" w:sz="8" w:space="0" w:color="000000"/>
            </w:tcBorders>
          </w:tcPr>
          <w:p w:rsidR="009775C8" w:rsidRDefault="00000000">
            <w:pPr>
              <w:spacing w:after="0" w:line="259" w:lineRule="auto"/>
              <w:ind w:left="5" w:firstLine="0"/>
            </w:pPr>
            <w:r>
              <w:t>500</w:t>
            </w:r>
          </w:p>
        </w:tc>
        <w:tc>
          <w:tcPr>
            <w:tcW w:w="2780" w:type="dxa"/>
            <w:tcBorders>
              <w:top w:val="single" w:sz="8" w:space="0" w:color="000000"/>
              <w:left w:val="single" w:sz="8" w:space="0" w:color="000000"/>
              <w:bottom w:val="single" w:sz="8" w:space="0" w:color="000000"/>
              <w:right w:val="single" w:sz="8" w:space="0" w:color="000000"/>
            </w:tcBorders>
          </w:tcPr>
          <w:p w:rsidR="009775C8" w:rsidRDefault="00000000">
            <w:pPr>
              <w:spacing w:after="0" w:line="259" w:lineRule="auto"/>
              <w:ind w:left="0" w:firstLine="0"/>
            </w:pPr>
            <w:r>
              <w:t>2000</w:t>
            </w:r>
          </w:p>
        </w:tc>
      </w:tr>
    </w:tbl>
    <w:p w:rsidR="009775C8" w:rsidRDefault="00000000">
      <w:pPr>
        <w:spacing w:after="215" w:line="259" w:lineRule="auto"/>
        <w:ind w:left="0" w:firstLine="0"/>
      </w:pPr>
      <w:r>
        <w:rPr>
          <w:i/>
          <w:color w:val="44546A"/>
          <w:sz w:val="18"/>
        </w:rPr>
        <w:t>Tabel 1: velden met bijbehorende afstanden</w:t>
      </w:r>
    </w:p>
    <w:p w:rsidR="009775C8" w:rsidRDefault="00000000">
      <w:pPr>
        <w:numPr>
          <w:ilvl w:val="0"/>
          <w:numId w:val="1"/>
        </w:numPr>
        <w:ind w:right="16" w:hanging="405"/>
      </w:pPr>
      <w:r>
        <w:t>Indien er meer dan zes deelnemende ploegen in een veld zijn zullen er voorwedstrijden en finales plaatsvinden. De voorwedstrijd geschiedt over 500 meter. De loting voor de finale zal plaatsvinden conform het promotieprotocol HOCT Indelingstabellen 2024, appendix . De finale geschiedt over 1000 meter ofwel 2000 meter, uitgaande van een A tot en met maximaal F-finale.</w:t>
      </w:r>
    </w:p>
    <w:p w:rsidR="009775C8" w:rsidRDefault="00000000">
      <w:pPr>
        <w:numPr>
          <w:ilvl w:val="0"/>
          <w:numId w:val="1"/>
        </w:numPr>
        <w:ind w:right="16" w:hanging="405"/>
      </w:pPr>
      <w:r>
        <w:t>Voor de start van de 500 en 1000 meter wordt er gebruikgemaakt van klosjes.</w:t>
      </w:r>
    </w:p>
    <w:p w:rsidR="009775C8" w:rsidRDefault="00000000">
      <w:pPr>
        <w:numPr>
          <w:ilvl w:val="0"/>
          <w:numId w:val="1"/>
        </w:numPr>
        <w:ind w:right="16" w:hanging="405"/>
      </w:pPr>
      <w:r>
        <w:t>Indeling van de bokaalploegen in de poules vindt plaats conform het desbetreffende bokaalreglement.</w:t>
      </w:r>
    </w:p>
    <w:p w:rsidR="009775C8" w:rsidRDefault="00000000">
      <w:pPr>
        <w:numPr>
          <w:ilvl w:val="0"/>
          <w:numId w:val="1"/>
        </w:numPr>
        <w:ind w:right="16" w:hanging="405"/>
      </w:pPr>
      <w:r>
        <w:t>Indien er 3 tot 6 deelnemende ploegen zijn, zal iedere ploeg beide afstanden varen (500 en 1000 meter of 500 en 2000 meter). De winnaar wordt bepaald door de gemiddelde tijd, waarbij beide afstanden worden teruggerekend naar 500m en beide afstanden even zwaar tellen.</w:t>
      </w:r>
    </w:p>
    <w:p w:rsidR="009775C8" w:rsidRDefault="00000000">
      <w:pPr>
        <w:numPr>
          <w:ilvl w:val="0"/>
          <w:numId w:val="1"/>
        </w:numPr>
        <w:ind w:right="16" w:hanging="405"/>
      </w:pPr>
      <w:r>
        <w:t>Velden worden samengevoegd of geannuleerd bij minder dan 3 inschrijvingen.</w:t>
      </w:r>
    </w:p>
    <w:p w:rsidR="009775C8" w:rsidRDefault="00000000">
      <w:pPr>
        <w:numPr>
          <w:ilvl w:val="0"/>
          <w:numId w:val="1"/>
        </w:numPr>
        <w:spacing w:after="247"/>
        <w:ind w:right="16" w:hanging="405"/>
      </w:pPr>
      <w:r>
        <w:t xml:space="preserve">De ploegsamenstelling mag niet gewisseld worden tussen voorwedstrijden en finales, tenzij er meer roeiers dan roeiplaatsen in de boot kunnen worden ingeschreven in het inschrijfsysteem. In dat geval is het toegestaan onderling te wisselen (conform </w:t>
      </w:r>
      <w:r>
        <w:rPr>
          <w:b/>
        </w:rPr>
        <w:t>Art. 40 RvR</w:t>
      </w:r>
      <w:r>
        <w:t xml:space="preserve">). Een stuur mag ten alle tijden gewisseld worden, zie </w:t>
      </w:r>
      <w:r>
        <w:rPr>
          <w:b/>
        </w:rPr>
        <w:t>Art. 40.4 RvR</w:t>
      </w:r>
      <w:r>
        <w:t>.</w:t>
      </w:r>
    </w:p>
    <w:p w:rsidR="009775C8" w:rsidRDefault="00000000">
      <w:pPr>
        <w:pStyle w:val="Kop1"/>
        <w:ind w:left="-5"/>
      </w:pPr>
      <w:bookmarkStart w:id="4" w:name="_Toc11807"/>
      <w:r>
        <w:t>Hoofdstuk 2. Algemeen</w:t>
      </w:r>
      <w:bookmarkEnd w:id="4"/>
    </w:p>
    <w:p w:rsidR="009775C8" w:rsidRDefault="00000000">
      <w:pPr>
        <w:pStyle w:val="Kop2"/>
        <w:ind w:left="-5"/>
      </w:pPr>
      <w:bookmarkStart w:id="5" w:name="_Toc11808"/>
      <w:r>
        <w:t>Artikel 2. Reglementen</w:t>
      </w:r>
      <w:bookmarkEnd w:id="5"/>
    </w:p>
    <w:p w:rsidR="009775C8" w:rsidRDefault="00000000">
      <w:pPr>
        <w:spacing w:after="123"/>
        <w:ind w:right="16"/>
      </w:pPr>
      <w:r>
        <w:t xml:space="preserve">Deze wedstrijd wordt gehouden volgens het RvR van de Koninklijke Nederlandse Roei Bond </w:t>
      </w:r>
      <w:hyperlink r:id="rId7">
        <w:r>
          <w:rPr>
            <w:color w:val="1155CC"/>
            <w:u w:val="single" w:color="1155CC"/>
          </w:rPr>
          <w:t>https://knrb.nl/kennisplein/wedstrijden/wedstrijdreglementen/</w:t>
        </w:r>
      </w:hyperlink>
      <w:r>
        <w:t>. Alle deelnemers worden geacht op de hoogte te zijn van het RvR.</w:t>
      </w:r>
    </w:p>
    <w:p w:rsidR="009775C8" w:rsidRDefault="00000000">
      <w:pPr>
        <w:pStyle w:val="Kop2"/>
        <w:ind w:left="-5"/>
      </w:pPr>
      <w:bookmarkStart w:id="6" w:name="_Toc11809"/>
      <w:r>
        <w:t>Artikel 3. Wedstrijdleiding</w:t>
      </w:r>
      <w:bookmarkEnd w:id="6"/>
    </w:p>
    <w:p w:rsidR="009775C8" w:rsidRDefault="00000000">
      <w:pPr>
        <w:numPr>
          <w:ilvl w:val="0"/>
          <w:numId w:val="2"/>
        </w:numPr>
        <w:spacing w:after="38"/>
        <w:ind w:right="16" w:hanging="360"/>
      </w:pPr>
      <w:r>
        <w:t>Wedstrijdleiding: Irene Cauwels, Iris Versteeg en Kimberly Colijn (wedstrijdleiding@okeanos.nl).</w:t>
      </w:r>
    </w:p>
    <w:p w:rsidR="009775C8" w:rsidRDefault="00000000">
      <w:pPr>
        <w:spacing w:after="38"/>
        <w:ind w:left="730" w:right="16"/>
      </w:pPr>
      <w:r>
        <w:t>Gedurende het evenement bevindt de wedstrijdleiding zich in de finishtoren.</w:t>
      </w:r>
    </w:p>
    <w:p w:rsidR="009775C8" w:rsidRDefault="00000000">
      <w:pPr>
        <w:numPr>
          <w:ilvl w:val="0"/>
          <w:numId w:val="2"/>
        </w:numPr>
        <w:spacing w:after="238"/>
        <w:ind w:right="16" w:hanging="360"/>
      </w:pPr>
      <w:r>
        <w:t>Hoofd van de Jury: Janneke Vermeer (kamprechters@okeanos.nl).</w:t>
      </w:r>
    </w:p>
    <w:p w:rsidR="009775C8" w:rsidRDefault="00000000">
      <w:pPr>
        <w:pStyle w:val="Kop2"/>
        <w:ind w:left="-5"/>
      </w:pPr>
      <w:bookmarkStart w:id="7" w:name="_Toc11810"/>
      <w:r>
        <w:t>Artikel 4. Bokalen</w:t>
      </w:r>
      <w:bookmarkEnd w:id="7"/>
    </w:p>
    <w:p w:rsidR="009775C8" w:rsidRDefault="00000000">
      <w:pPr>
        <w:spacing w:after="203"/>
        <w:ind w:right="625"/>
      </w:pPr>
      <w:r>
        <w:t>De Heineken Okeanos Competitie Tweekamp 2024 is dit jaar onderdeel van Kruithuisbokaal, Vlietbokaal, Stuurboord onervaren C4+ bokaal, bokaal der Quadruples en Mix2xbokaal.</w:t>
      </w:r>
    </w:p>
    <w:p w:rsidR="009775C8" w:rsidRDefault="00000000">
      <w:pPr>
        <w:pStyle w:val="Kop1"/>
        <w:spacing w:after="203" w:line="250" w:lineRule="auto"/>
        <w:ind w:right="625"/>
      </w:pPr>
      <w:bookmarkStart w:id="8" w:name="_Toc11811"/>
      <w:r>
        <w:lastRenderedPageBreak/>
        <w:t>Hoofdstuk 3. Inschrijfprocedure</w:t>
      </w:r>
      <w:bookmarkEnd w:id="8"/>
    </w:p>
    <w:p w:rsidR="009775C8" w:rsidRDefault="00000000">
      <w:pPr>
        <w:pStyle w:val="Kop3"/>
        <w:ind w:left="-5"/>
      </w:pPr>
      <w:bookmarkStart w:id="9" w:name="_Toc11812"/>
      <w:r>
        <w:t xml:space="preserve"> Artikel 5. Inschrijfprocedure</w:t>
      </w:r>
      <w:bookmarkEnd w:id="9"/>
    </w:p>
    <w:p w:rsidR="009775C8" w:rsidRDefault="00000000">
      <w:pPr>
        <w:numPr>
          <w:ilvl w:val="0"/>
          <w:numId w:val="3"/>
        </w:numPr>
        <w:ind w:right="16" w:hanging="360"/>
      </w:pPr>
      <w:r>
        <w:t>Inschrijven is mogelijk via http://mijnvereniging.knrb.nl tot 3 juni 2024 23:59.</w:t>
      </w:r>
    </w:p>
    <w:p w:rsidR="009775C8" w:rsidRDefault="00000000">
      <w:pPr>
        <w:numPr>
          <w:ilvl w:val="0"/>
          <w:numId w:val="3"/>
        </w:numPr>
        <w:ind w:right="16" w:hanging="360"/>
      </w:pPr>
      <w:r>
        <w:t>Dubbel inschrijven kan alleen in overleg met de wedstrijdleiding via wedstrijdleiding@okeanos.nl.</w:t>
      </w:r>
    </w:p>
    <w:p w:rsidR="009775C8" w:rsidRDefault="00000000">
      <w:pPr>
        <w:numPr>
          <w:ilvl w:val="0"/>
          <w:numId w:val="3"/>
        </w:numPr>
        <w:spacing w:after="366"/>
        <w:ind w:right="16" w:hanging="360"/>
      </w:pPr>
      <w:r>
        <w:t xml:space="preserve">Dubbel bootgebruik wordt </w:t>
      </w:r>
      <w:r>
        <w:rPr>
          <w:u w:val="single" w:color="000000"/>
        </w:rPr>
        <w:t xml:space="preserve">niet </w:t>
      </w:r>
      <w:r>
        <w:t>gefaciliteerd voor C4+-velden.</w:t>
      </w:r>
    </w:p>
    <w:p w:rsidR="009775C8" w:rsidRDefault="00000000">
      <w:pPr>
        <w:pStyle w:val="Kop3"/>
        <w:ind w:left="-5"/>
      </w:pPr>
      <w:bookmarkStart w:id="10" w:name="_Toc11813"/>
      <w:r>
        <w:t xml:space="preserve"> Artikel 6. Inschrijfgelden</w:t>
      </w:r>
      <w:bookmarkEnd w:id="10"/>
    </w:p>
    <w:p w:rsidR="009775C8" w:rsidRDefault="00000000">
      <w:pPr>
        <w:spacing w:after="123"/>
        <w:ind w:left="355" w:right="784"/>
      </w:pPr>
      <w:r>
        <w:t>1.</w:t>
      </w:r>
      <w:r>
        <w:tab/>
        <w:t>Inschrijfgeld: skiff</w:t>
      </w:r>
      <w:r>
        <w:rPr>
          <w:rFonts w:ascii="Georgia" w:eastAsia="Georgia" w:hAnsi="Georgia" w:cs="Georgia"/>
          <w:sz w:val="21"/>
        </w:rPr>
        <w:t xml:space="preserve"> </w:t>
      </w:r>
      <w:r>
        <w:t xml:space="preserve">19,57, twee </w:t>
      </w:r>
      <w:r>
        <w:rPr>
          <w:rFonts w:ascii="Arial" w:eastAsia="Arial" w:hAnsi="Arial" w:cs="Arial"/>
        </w:rPr>
        <w:t>€</w:t>
      </w:r>
      <w:r>
        <w:t xml:space="preserve">30,00, vier </w:t>
      </w:r>
      <w:r>
        <w:rPr>
          <w:rFonts w:ascii="Arial" w:eastAsia="Arial" w:hAnsi="Arial" w:cs="Arial"/>
        </w:rPr>
        <w:t>€</w:t>
      </w:r>
      <w:r>
        <w:t xml:space="preserve">44,00, acht </w:t>
      </w:r>
      <w:r>
        <w:rPr>
          <w:rFonts w:ascii="Arial" w:eastAsia="Arial" w:hAnsi="Arial" w:cs="Arial"/>
        </w:rPr>
        <w:t>€</w:t>
      </w:r>
      <w:r>
        <w:t xml:space="preserve">70,00, bedrijfsacht </w:t>
      </w:r>
      <w:r>
        <w:rPr>
          <w:rFonts w:ascii="Arial" w:eastAsia="Arial" w:hAnsi="Arial" w:cs="Arial"/>
        </w:rPr>
        <w:t>€</w:t>
      </w:r>
      <w:r>
        <w:t>100,00 2.</w:t>
      </w:r>
      <w:r>
        <w:tab/>
        <w:t>Inschrijfgelden dienen vóór 7 juni 2024 om 23:59 uur op NL13INGB0002790767 t.n.v. R.S.V.U. ‘Okeanos’ te Amstelveen o.v.v. HOCT 2024 en de naam van de vereniging.</w:t>
      </w:r>
    </w:p>
    <w:p w:rsidR="009775C8" w:rsidRDefault="00000000">
      <w:pPr>
        <w:pStyle w:val="Kop2"/>
        <w:spacing w:after="274"/>
        <w:ind w:left="-5"/>
      </w:pPr>
      <w:bookmarkStart w:id="11" w:name="_Toc11814"/>
      <w:r>
        <w:t>Artikel 7. Loting</w:t>
      </w:r>
      <w:bookmarkEnd w:id="11"/>
    </w:p>
    <w:p w:rsidR="009775C8" w:rsidRDefault="00000000">
      <w:pPr>
        <w:numPr>
          <w:ilvl w:val="0"/>
          <w:numId w:val="4"/>
        </w:numPr>
        <w:ind w:right="16" w:hanging="360"/>
      </w:pPr>
      <w:r>
        <w:t xml:space="preserve">De loting vindt plaats op woensdag 5 juni 2024 om 19:57 en zal worden gepubliceerd op de website </w:t>
      </w:r>
      <w:hyperlink r:id="rId8">
        <w:r>
          <w:rPr>
            <w:color w:val="1155CC"/>
            <w:u w:val="single" w:color="1155CC"/>
          </w:rPr>
          <w:t>www.time-team.nl</w:t>
        </w:r>
      </w:hyperlink>
      <w:r>
        <w:t>.</w:t>
      </w:r>
    </w:p>
    <w:p w:rsidR="009775C8" w:rsidRDefault="00000000">
      <w:pPr>
        <w:numPr>
          <w:ilvl w:val="0"/>
          <w:numId w:val="4"/>
        </w:numPr>
        <w:ind w:right="16" w:hanging="360"/>
      </w:pPr>
      <w:r>
        <w:t>Velden worden samengevoegd of geannuleerd bij minder dan 3 inschrijvingen.</w:t>
      </w:r>
    </w:p>
    <w:p w:rsidR="009775C8" w:rsidRDefault="00000000">
      <w:pPr>
        <w:numPr>
          <w:ilvl w:val="0"/>
          <w:numId w:val="4"/>
        </w:numPr>
        <w:ind w:right="16" w:hanging="360"/>
      </w:pPr>
      <w:r>
        <w:t>De wedstrijdleiding behoudt zich het recht voor om bij een groot aantal inschrijvingen ploegen niet toe te laten tot de wedstrijd omwille van organisatorische redenen of veiligheidsmaatregelen. Deelnemers aan bokalen waar deze wedstrijd onderdeel van uitmaakt hebben voorrang op zij die niet deelnemen aan een bokaal. In het geval er ploegen geweigerd moeten worden zal deze maatregel evenredig over de verenigingen worden toegepast.</w:t>
      </w:r>
    </w:p>
    <w:p w:rsidR="009775C8" w:rsidRDefault="00000000">
      <w:pPr>
        <w:numPr>
          <w:ilvl w:val="0"/>
          <w:numId w:val="4"/>
        </w:numPr>
        <w:spacing w:after="447"/>
        <w:ind w:right="16" w:hanging="360"/>
      </w:pPr>
      <w:r>
        <w:t>De wedstrijdleiding behoudt zich het recht voor om bij een groot aantal inschrijvingen het aantal finales te beperken omwille van organisatorische redenen.</w:t>
      </w:r>
    </w:p>
    <w:p w:rsidR="009775C8" w:rsidRDefault="00000000">
      <w:pPr>
        <w:pStyle w:val="Kop1"/>
        <w:ind w:left="-5"/>
      </w:pPr>
      <w:bookmarkStart w:id="12" w:name="_Toc11815"/>
      <w:r>
        <w:t>Hoofdstuk 4. Deelname</w:t>
      </w:r>
      <w:bookmarkEnd w:id="12"/>
    </w:p>
    <w:p w:rsidR="009775C8" w:rsidRDefault="00000000">
      <w:pPr>
        <w:pStyle w:val="Kop2"/>
        <w:ind w:left="-5"/>
      </w:pPr>
      <w:bookmarkStart w:id="13" w:name="_Toc11816"/>
      <w:r>
        <w:t>Artikel 8. Deelname</w:t>
      </w:r>
      <w:bookmarkEnd w:id="13"/>
    </w:p>
    <w:p w:rsidR="009775C8" w:rsidRDefault="00000000">
      <w:pPr>
        <w:numPr>
          <w:ilvl w:val="0"/>
          <w:numId w:val="5"/>
        </w:numPr>
        <w:ind w:right="16" w:hanging="405"/>
      </w:pPr>
      <w:r>
        <w:t>Op de Heineken Okeanos Competitie Tweekamp 2024 mogen alleen ploegen starten zoals gedefinieerd in de begripsbepaling aan het begin van dit reglement.</w:t>
      </w:r>
    </w:p>
    <w:p w:rsidR="009775C8" w:rsidRDefault="00000000">
      <w:pPr>
        <w:numPr>
          <w:ilvl w:val="0"/>
          <w:numId w:val="5"/>
        </w:numPr>
        <w:spacing w:after="203"/>
        <w:ind w:right="16" w:hanging="405"/>
      </w:pPr>
      <w:r>
        <w:t xml:space="preserve">Het roeitenue van roeiers en stuurlieden dient te voldoen aan de voorschriften zoals is beschreven in </w:t>
      </w:r>
      <w:r>
        <w:rPr>
          <w:b/>
        </w:rPr>
        <w:t>Art. 8 RvR</w:t>
      </w:r>
      <w:r>
        <w:t>.</w:t>
      </w:r>
    </w:p>
    <w:p w:rsidR="009775C8" w:rsidRDefault="00000000">
      <w:pPr>
        <w:numPr>
          <w:ilvl w:val="0"/>
          <w:numId w:val="5"/>
        </w:numPr>
        <w:spacing w:after="203"/>
        <w:ind w:right="16" w:hanging="405"/>
      </w:pPr>
      <w:r>
        <w:t>Voor de NSRF C4+ velden geldt dat de ploeg ingeschreven moet zijn voor de bokaal om deel te kunnen nemen aan het veld (zie bokaalregelement).</w:t>
      </w:r>
    </w:p>
    <w:p w:rsidR="009775C8" w:rsidRDefault="00000000">
      <w:pPr>
        <w:pStyle w:val="Kop3"/>
        <w:ind w:left="-5"/>
      </w:pPr>
      <w:bookmarkStart w:id="14" w:name="_Toc11817"/>
      <w:r>
        <w:t xml:space="preserve"> Artikel 9. Aanmeldprocedure</w:t>
      </w:r>
      <w:bookmarkEnd w:id="14"/>
    </w:p>
    <w:p w:rsidR="009775C8" w:rsidRDefault="00000000">
      <w:pPr>
        <w:numPr>
          <w:ilvl w:val="0"/>
          <w:numId w:val="6"/>
        </w:numPr>
        <w:ind w:right="16" w:hanging="405"/>
      </w:pPr>
      <w:r>
        <w:t>De rugnummers zullen verstrekt worden aan de competitiecommissaris van iedere vereniging. Dit dient 1 uur voor de starttijd van de eerst startende ploeg te hebben plaatsgevonden.</w:t>
      </w:r>
    </w:p>
    <w:p w:rsidR="009775C8" w:rsidRDefault="00000000">
      <w:pPr>
        <w:numPr>
          <w:ilvl w:val="0"/>
          <w:numId w:val="6"/>
        </w:numPr>
        <w:ind w:right="16" w:hanging="405"/>
      </w:pPr>
      <w:r>
        <w:t xml:space="preserve">Er wordt geen borg gevraagd bij het uitgeven van de rugnummers. In plaats daarvan wordt er bij het missen van rugnummers een incasso ter waarde van </w:t>
      </w:r>
      <w:r>
        <w:rPr>
          <w:rFonts w:ascii="Arial" w:eastAsia="Arial" w:hAnsi="Arial" w:cs="Arial"/>
        </w:rPr>
        <w:t>€</w:t>
      </w:r>
      <w:r>
        <w:t>10,00 per rugnummer naar de desbetreffende vereniging verstuurd.</w:t>
      </w:r>
    </w:p>
    <w:p w:rsidR="009775C8" w:rsidRDefault="00000000">
      <w:pPr>
        <w:numPr>
          <w:ilvl w:val="0"/>
          <w:numId w:val="6"/>
        </w:numPr>
        <w:ind w:right="16" w:hanging="405"/>
      </w:pPr>
      <w:r>
        <w:t>De stuur en de boegroeier dienen tijdens het oproeien en de race het rugnummer duidelijk zichtbaar te dragen. Bij ongestuurde nummers dient het rugnummer bevestigd te worden op de boot en de boegroeier. Het derde rugnummer, indien nodig, is bestemd voor op de oproeijas van de boegroeier.</w:t>
      </w:r>
    </w:p>
    <w:p w:rsidR="009775C8" w:rsidRDefault="00000000">
      <w:pPr>
        <w:numPr>
          <w:ilvl w:val="0"/>
          <w:numId w:val="6"/>
        </w:numPr>
        <w:spacing w:after="391"/>
        <w:ind w:right="16" w:hanging="405"/>
      </w:pPr>
      <w:r>
        <w:t>Iedere ploeg is zelf verantwoordelijk voor het op tijd melden bij het vlot. Dit dient 30 minuten voor de starttijd te hebben plaatsgevonden.</w:t>
      </w:r>
    </w:p>
    <w:p w:rsidR="009775C8" w:rsidRDefault="00000000">
      <w:pPr>
        <w:pStyle w:val="Kop2"/>
        <w:ind w:left="-5"/>
      </w:pPr>
      <w:bookmarkStart w:id="15" w:name="_Toc11818"/>
      <w:r>
        <w:t>Artikel 10. Vlotprocedure</w:t>
      </w:r>
      <w:bookmarkEnd w:id="15"/>
    </w:p>
    <w:p w:rsidR="009775C8" w:rsidRDefault="00000000">
      <w:pPr>
        <w:spacing w:after="283"/>
        <w:ind w:right="16"/>
      </w:pPr>
      <w:r>
        <w:t xml:space="preserve">Deelnemende ploegen dienen gehoor te geven aan aanwijzingen van de vlotverantwoordelijke(n). Zodra hier niet aan wordt voldaan kunnen er disciplinaire maatregelen genomen worden, zoals beschreven in </w:t>
      </w:r>
      <w:r>
        <w:rPr>
          <w:b/>
        </w:rPr>
        <w:t>Art. 75 RvR</w:t>
      </w:r>
      <w:r>
        <w:t>.</w:t>
      </w:r>
    </w:p>
    <w:p w:rsidR="009775C8" w:rsidRDefault="00000000">
      <w:pPr>
        <w:pStyle w:val="Kop3"/>
        <w:ind w:left="-5"/>
      </w:pPr>
      <w:bookmarkStart w:id="16" w:name="_Toc11819"/>
      <w:r>
        <w:t xml:space="preserve"> Artikel 11. Op- en uitroeiprocedure</w:t>
      </w:r>
      <w:bookmarkEnd w:id="16"/>
    </w:p>
    <w:p w:rsidR="009775C8" w:rsidRDefault="00000000">
      <w:pPr>
        <w:numPr>
          <w:ilvl w:val="0"/>
          <w:numId w:val="7"/>
        </w:numPr>
        <w:ind w:right="16" w:hanging="405"/>
      </w:pPr>
      <w:r>
        <w:t xml:space="preserve">Iedere ploeg dient in een door de verenigingsvertegenwoordiger toegewezen boot te starten die voldoet aan de eisen genoemd in </w:t>
      </w:r>
      <w:r>
        <w:rPr>
          <w:b/>
        </w:rPr>
        <w:t>Art. 20 RvR</w:t>
      </w:r>
      <w:r>
        <w:t>.</w:t>
      </w:r>
    </w:p>
    <w:p w:rsidR="009775C8" w:rsidRDefault="00000000">
      <w:pPr>
        <w:numPr>
          <w:ilvl w:val="0"/>
          <w:numId w:val="7"/>
        </w:numPr>
        <w:ind w:right="16" w:hanging="405"/>
      </w:pPr>
      <w:r>
        <w:t>Iedere ploeg laat lopen tijdens het oproeien, 50m voordat er een wedstrijd passeert.</w:t>
      </w:r>
    </w:p>
    <w:p w:rsidR="009775C8" w:rsidRDefault="00000000">
      <w:pPr>
        <w:numPr>
          <w:ilvl w:val="0"/>
          <w:numId w:val="7"/>
        </w:numPr>
        <w:ind w:right="16" w:hanging="405"/>
      </w:pPr>
      <w:r>
        <w:t>Oproeien dient te gebeuren in de oproeibaan.</w:t>
      </w:r>
    </w:p>
    <w:p w:rsidR="009775C8" w:rsidRDefault="00000000">
      <w:pPr>
        <w:numPr>
          <w:ilvl w:val="0"/>
          <w:numId w:val="7"/>
        </w:numPr>
        <w:ind w:right="16" w:hanging="405"/>
      </w:pPr>
      <w:r>
        <w:t>Iedere ploeg is zelf verantwoordelijk om 5 minuten voor aanvang van de heat te verschijnen aan de start. Te laat verschijnen kan uitsluiting betekenen.</w:t>
      </w:r>
    </w:p>
    <w:p w:rsidR="009775C8" w:rsidRDefault="00000000">
      <w:pPr>
        <w:numPr>
          <w:ilvl w:val="0"/>
          <w:numId w:val="7"/>
        </w:numPr>
        <w:ind w:right="16" w:hanging="405"/>
      </w:pPr>
      <w:r>
        <w:t>Het is verboden om tijdens oproeien of uitroeien stil te liggen ter hoogte van de start- of finishlijn.</w:t>
      </w:r>
    </w:p>
    <w:p w:rsidR="009775C8" w:rsidRDefault="00000000">
      <w:pPr>
        <w:numPr>
          <w:ilvl w:val="0"/>
          <w:numId w:val="7"/>
        </w:numPr>
        <w:spacing w:after="283"/>
        <w:ind w:right="16" w:hanging="405"/>
      </w:pPr>
      <w:r>
        <w:t>Uitroeien is beperkt mogelijk en alleen als de wedstrijden niet worden gehinderd. Er kan niet uitgeroeid worden als de boot overgenomen wordt door een andere ploeg.</w:t>
      </w:r>
    </w:p>
    <w:p w:rsidR="009775C8" w:rsidRDefault="00000000">
      <w:pPr>
        <w:pStyle w:val="Kop2"/>
        <w:ind w:left="-5"/>
      </w:pPr>
      <w:bookmarkStart w:id="17" w:name="_Toc11820"/>
      <w:r>
        <w:t>Artikel 12. Race</w:t>
      </w:r>
      <w:bookmarkEnd w:id="17"/>
    </w:p>
    <w:p w:rsidR="009775C8" w:rsidRDefault="00000000">
      <w:pPr>
        <w:spacing w:after="247"/>
        <w:ind w:right="16"/>
      </w:pPr>
      <w:r>
        <w:t xml:space="preserve">Een ploeg kan op eigen risico haar baan verlaten, mits zij daarmee geen van de andere ploegen in de race hindert of daaruit enig voordeel trekt, zoals is beschreven in </w:t>
      </w:r>
      <w:r>
        <w:rPr>
          <w:b/>
        </w:rPr>
        <w:t>Art. 49 RvR</w:t>
      </w:r>
      <w:r>
        <w:t>. Hinderen van de tegenstanders op welke manier dan ook kan een waarschuwing dan wel uitsluiting opleveren.</w:t>
      </w:r>
    </w:p>
    <w:p w:rsidR="009775C8" w:rsidRDefault="00000000">
      <w:pPr>
        <w:pStyle w:val="Kop1"/>
        <w:ind w:left="-5"/>
      </w:pPr>
      <w:bookmarkStart w:id="18" w:name="_Toc11821"/>
      <w:r>
        <w:t>Hoofdstuk 5. Protestregelingen</w:t>
      </w:r>
      <w:bookmarkEnd w:id="18"/>
    </w:p>
    <w:p w:rsidR="009775C8" w:rsidRDefault="00000000">
      <w:pPr>
        <w:pStyle w:val="Kop2"/>
        <w:spacing w:after="274"/>
        <w:ind w:left="-5"/>
      </w:pPr>
      <w:bookmarkStart w:id="19" w:name="_Toc11822"/>
      <w:r>
        <w:t>Artikel 13. Protest</w:t>
      </w:r>
      <w:bookmarkEnd w:id="19"/>
    </w:p>
    <w:p w:rsidR="009775C8" w:rsidRDefault="00000000">
      <w:pPr>
        <w:numPr>
          <w:ilvl w:val="0"/>
          <w:numId w:val="8"/>
        </w:numPr>
        <w:ind w:right="16" w:hanging="360"/>
      </w:pPr>
      <w:r>
        <w:t>U kunt protest aantekenen door dit direct na de race kenbaar te maken door middel van een handopsteking. Daarna dient u zich binnen een half uur te melden bij het secretariaat in de finishtoren, waar u uw protest schriftelijk kunt indienen.</w:t>
      </w:r>
    </w:p>
    <w:p w:rsidR="009775C8" w:rsidRDefault="00000000">
      <w:pPr>
        <w:numPr>
          <w:ilvl w:val="0"/>
          <w:numId w:val="8"/>
        </w:numPr>
        <w:spacing w:after="284"/>
        <w:ind w:right="16" w:hanging="360"/>
      </w:pPr>
      <w:r>
        <w:t xml:space="preserve">Indien u het niet eens bent met de beslissing van de kamprechter kunt u bezwaar aantekenen bij het hoofd van de jury, tot maximaal een uur na de uitspraak van het protest (conform </w:t>
      </w:r>
      <w:r>
        <w:rPr>
          <w:b/>
        </w:rPr>
        <w:t>Art. 78 RvR</w:t>
      </w:r>
      <w:r>
        <w:t>). Bezwaren dienen in beginsel afgehandeld te zijn alvorens de start van de volgende ronde (</w:t>
      </w:r>
      <w:r>
        <w:rPr>
          <w:b/>
        </w:rPr>
        <w:t>Art. 79.4 RvR</w:t>
      </w:r>
      <w:r>
        <w:t>).</w:t>
      </w:r>
    </w:p>
    <w:p w:rsidR="009775C8" w:rsidRDefault="00000000">
      <w:pPr>
        <w:pStyle w:val="Kop1"/>
        <w:ind w:left="-5"/>
      </w:pPr>
      <w:bookmarkStart w:id="20" w:name="_Toc11823"/>
      <w:r>
        <w:t>Hoofdstuk 6. Slotbepalingen</w:t>
      </w:r>
      <w:bookmarkEnd w:id="20"/>
    </w:p>
    <w:p w:rsidR="009775C8" w:rsidRDefault="00000000">
      <w:pPr>
        <w:pStyle w:val="Kop2"/>
        <w:ind w:left="-5"/>
      </w:pPr>
      <w:bookmarkStart w:id="21" w:name="_Toc11824"/>
      <w:r>
        <w:t>Artikel 14. Boeteclausule</w:t>
      </w:r>
      <w:bookmarkEnd w:id="21"/>
    </w:p>
    <w:p w:rsidR="009775C8" w:rsidRDefault="00000000">
      <w:pPr>
        <w:spacing w:after="285"/>
        <w:ind w:right="16"/>
      </w:pPr>
      <w:r>
        <w:t xml:space="preserve">Boetes voor het niet tijdig terugtrekken van een inschrijving zullen worden gerekend zoals beschreven in </w:t>
      </w:r>
      <w:r>
        <w:rPr>
          <w:b/>
        </w:rPr>
        <w:t>Art. 33 RvR</w:t>
      </w:r>
      <w:r>
        <w:t>.</w:t>
      </w:r>
    </w:p>
    <w:p w:rsidR="009775C8" w:rsidRDefault="00000000">
      <w:pPr>
        <w:pStyle w:val="Kop2"/>
        <w:spacing w:after="274"/>
        <w:ind w:left="-5"/>
      </w:pPr>
      <w:bookmarkStart w:id="22" w:name="_Toc11825"/>
      <w:r>
        <w:t>Artikel 15. Disciplinaire maatregelen</w:t>
      </w:r>
      <w:bookmarkEnd w:id="22"/>
    </w:p>
    <w:p w:rsidR="009775C8" w:rsidRDefault="00000000">
      <w:pPr>
        <w:spacing w:after="283"/>
        <w:ind w:right="16"/>
      </w:pPr>
      <w:r>
        <w:t xml:space="preserve">Indien deze bepalingen of de aanwijzingen van de wedstrijdfunctionarissen niet worden opgevolgd, kan de jury disciplinaire maatregelen nemen volgens </w:t>
      </w:r>
      <w:r>
        <w:rPr>
          <w:b/>
        </w:rPr>
        <w:t>Art. 75 RvR</w:t>
      </w:r>
      <w:r>
        <w:t>.</w:t>
      </w:r>
    </w:p>
    <w:p w:rsidR="009775C8" w:rsidRDefault="00000000">
      <w:pPr>
        <w:pStyle w:val="Kop2"/>
        <w:spacing w:after="274"/>
        <w:ind w:left="-5"/>
      </w:pPr>
      <w:bookmarkStart w:id="23" w:name="_Toc11826"/>
      <w:r>
        <w:t>Artikel 16. Onvoorziene omstandigheden</w:t>
      </w:r>
      <w:bookmarkEnd w:id="23"/>
    </w:p>
    <w:p w:rsidR="009775C8" w:rsidRDefault="00000000">
      <w:pPr>
        <w:spacing w:after="282"/>
        <w:ind w:right="16"/>
      </w:pPr>
      <w:r>
        <w:t>In alle gevallen waarin dit reglement niet voorziet beslist het Hoofd van de Jury.</w:t>
      </w:r>
    </w:p>
    <w:p w:rsidR="009775C8" w:rsidRDefault="00000000">
      <w:pPr>
        <w:pStyle w:val="Kop2"/>
        <w:spacing w:after="274"/>
        <w:ind w:left="-5"/>
      </w:pPr>
      <w:bookmarkStart w:id="24" w:name="_Toc11827"/>
      <w:r>
        <w:t>Artikel 17. Schade en letsel</w:t>
      </w:r>
      <w:bookmarkEnd w:id="24"/>
    </w:p>
    <w:p w:rsidR="009775C8" w:rsidRDefault="00000000">
      <w:pPr>
        <w:spacing w:after="283"/>
        <w:ind w:right="16"/>
      </w:pPr>
      <w:r>
        <w:t>De organisatie aanvaardt geen aansprakelijkheid voor enig letsel of schade door bezoekers of deelnemers aan het evenement geleden voor, tijdens of na het evenement.</w:t>
      </w:r>
    </w:p>
    <w:p w:rsidR="009775C8" w:rsidRDefault="00000000">
      <w:pPr>
        <w:pStyle w:val="Kop2"/>
        <w:ind w:left="-5"/>
      </w:pPr>
      <w:bookmarkStart w:id="25" w:name="_Toc11828"/>
      <w:r>
        <w:t>Artikel 18. Bepalingen bokaal</w:t>
      </w:r>
      <w:bookmarkEnd w:id="25"/>
    </w:p>
    <w:p w:rsidR="009775C8" w:rsidRDefault="00000000">
      <w:pPr>
        <w:ind w:right="16"/>
      </w:pPr>
      <w:r>
        <w:t>Op deze wedstrijd kunnen aanvullende bepalingen van de bokaal van toepassing zijn. Zie hiervoor het bokaalregelement voor de desbetreffende bokaal.</w:t>
      </w:r>
    </w:p>
    <w:sectPr w:rsidR="009775C8">
      <w:footerReference w:type="even" r:id="rId9"/>
      <w:footerReference w:type="default" r:id="rId10"/>
      <w:footerReference w:type="first" r:id="rId11"/>
      <w:pgSz w:w="11920" w:h="16840"/>
      <w:pgMar w:top="1461" w:right="1431" w:bottom="1698" w:left="1417" w:header="720"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4E40" w:rsidRDefault="003E4E40">
      <w:pPr>
        <w:spacing w:after="0" w:line="240" w:lineRule="auto"/>
      </w:pPr>
      <w:r>
        <w:separator/>
      </w:r>
    </w:p>
  </w:endnote>
  <w:endnote w:type="continuationSeparator" w:id="0">
    <w:p w:rsidR="003E4E40" w:rsidRDefault="003E4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75C8" w:rsidRDefault="00000000">
    <w:pPr>
      <w:spacing w:after="0" w:line="259" w:lineRule="auto"/>
      <w:ind w:left="0" w:firstLine="0"/>
      <w:jc w:val="right"/>
    </w:pPr>
    <w:r>
      <w:fldChar w:fldCharType="begin"/>
    </w:r>
    <w:r>
      <w:instrText xml:space="preserve"> PAGE   \* MERGEFORMAT </w:instrText>
    </w:r>
    <w:r>
      <w:fldChar w:fldCharType="separate"/>
    </w:r>
    <w:r>
      <w:rPr>
        <w:sz w:val="22"/>
      </w:rPr>
      <w:t>1</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75C8" w:rsidRDefault="00000000">
    <w:pPr>
      <w:spacing w:after="0" w:line="259" w:lineRule="auto"/>
      <w:ind w:left="0" w:firstLine="0"/>
      <w:jc w:val="right"/>
    </w:pPr>
    <w:r>
      <w:fldChar w:fldCharType="begin"/>
    </w:r>
    <w:r>
      <w:instrText xml:space="preserve"> PAGE   \* MERGEFORMAT </w:instrText>
    </w:r>
    <w:r>
      <w:fldChar w:fldCharType="separate"/>
    </w:r>
    <w:r>
      <w:rPr>
        <w:sz w:val="22"/>
      </w:rPr>
      <w:t>1</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75C8" w:rsidRDefault="00000000">
    <w:pPr>
      <w:spacing w:after="0" w:line="259" w:lineRule="auto"/>
      <w:ind w:left="0" w:firstLine="0"/>
      <w:jc w:val="right"/>
    </w:pPr>
    <w:r>
      <w:fldChar w:fldCharType="begin"/>
    </w:r>
    <w:r>
      <w:instrText xml:space="preserve"> PAGE   \* MERGEFORMAT </w:instrText>
    </w:r>
    <w:r>
      <w:fldChar w:fldCharType="separate"/>
    </w:r>
    <w:r>
      <w:rPr>
        <w:sz w:val="22"/>
      </w:rPr>
      <w:t>1</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4E40" w:rsidRDefault="003E4E40">
      <w:pPr>
        <w:spacing w:after="0" w:line="240" w:lineRule="auto"/>
      </w:pPr>
      <w:r>
        <w:separator/>
      </w:r>
    </w:p>
  </w:footnote>
  <w:footnote w:type="continuationSeparator" w:id="0">
    <w:p w:rsidR="003E4E40" w:rsidRDefault="003E4E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D6C"/>
    <w:multiLevelType w:val="hybridMultilevel"/>
    <w:tmpl w:val="E19A5FBC"/>
    <w:lvl w:ilvl="0" w:tplc="1496322E">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8ADF18">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4A223A">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A28978">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9E71AC">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BC856A">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3207A6">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36874A">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60F3AE">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E1B4CF1"/>
    <w:multiLevelType w:val="hybridMultilevel"/>
    <w:tmpl w:val="0EBA5E04"/>
    <w:lvl w:ilvl="0" w:tplc="45D09886">
      <w:start w:val="1"/>
      <w:numFmt w:val="decimal"/>
      <w:lvlText w:val="%1."/>
      <w:lvlJc w:val="left"/>
      <w:pPr>
        <w:ind w:left="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9EF184">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680166">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E26DE6">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3A7C6E">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18CEC4">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6C2B48">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26560E">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3259D8">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74C75B1"/>
    <w:multiLevelType w:val="hybridMultilevel"/>
    <w:tmpl w:val="C1B49DB0"/>
    <w:lvl w:ilvl="0" w:tplc="111A5DD8">
      <w:start w:val="1"/>
      <w:numFmt w:val="decimal"/>
      <w:lvlText w:val="%1."/>
      <w:lvlJc w:val="left"/>
      <w:pPr>
        <w:ind w:left="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58FD94">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CAB646">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880560">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BAF1E8">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BA7EF4">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FE7FF6">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B66EB2">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4414E4">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8BD44BB"/>
    <w:multiLevelType w:val="hybridMultilevel"/>
    <w:tmpl w:val="F378CB96"/>
    <w:lvl w:ilvl="0" w:tplc="DF88FD0E">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F689F4">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BEDA5E">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129BC6">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4885E2">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4E009E">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706980">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7EFA76">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C6BD5C">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0B42350"/>
    <w:multiLevelType w:val="hybridMultilevel"/>
    <w:tmpl w:val="EB5CBB7A"/>
    <w:lvl w:ilvl="0" w:tplc="A87E6DEA">
      <w:start w:val="1"/>
      <w:numFmt w:val="decimal"/>
      <w:lvlText w:val="%1."/>
      <w:lvlJc w:val="left"/>
      <w:pPr>
        <w:ind w:left="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0205DC">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B0ABB0">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0C0A1C">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92084E">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726D3C">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60E912">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1259EA">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241500">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D6F4EE7"/>
    <w:multiLevelType w:val="hybridMultilevel"/>
    <w:tmpl w:val="61AA21C4"/>
    <w:lvl w:ilvl="0" w:tplc="E07EDABA">
      <w:start w:val="1"/>
      <w:numFmt w:val="decimal"/>
      <w:lvlText w:val="%1."/>
      <w:lvlJc w:val="left"/>
      <w:pPr>
        <w:ind w:left="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8E1DE2">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9CC83C">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8A3088">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E42B78">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146108">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702908">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765CDA">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90A82A">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46D7F31"/>
    <w:multiLevelType w:val="hybridMultilevel"/>
    <w:tmpl w:val="A176DC7A"/>
    <w:lvl w:ilvl="0" w:tplc="C4EE60D6">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1EA8C4">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52C99E">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947E2A">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3029A6">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7EC35A">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CEDC6C">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F27524">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8A3362">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BB23105"/>
    <w:multiLevelType w:val="hybridMultilevel"/>
    <w:tmpl w:val="9D1CCAC0"/>
    <w:lvl w:ilvl="0" w:tplc="C4D48344">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28D376">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0C8F9E">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2ADC24">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94DBE2">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129FFE">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308D16">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7CF2E0">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2E39FE">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299803784">
    <w:abstractNumId w:val="5"/>
  </w:num>
  <w:num w:numId="2" w16cid:durableId="47799067">
    <w:abstractNumId w:val="0"/>
  </w:num>
  <w:num w:numId="3" w16cid:durableId="963657999">
    <w:abstractNumId w:val="3"/>
  </w:num>
  <w:num w:numId="4" w16cid:durableId="2051421310">
    <w:abstractNumId w:val="6"/>
  </w:num>
  <w:num w:numId="5" w16cid:durableId="1537229748">
    <w:abstractNumId w:val="1"/>
  </w:num>
  <w:num w:numId="6" w16cid:durableId="82802701">
    <w:abstractNumId w:val="4"/>
  </w:num>
  <w:num w:numId="7" w16cid:durableId="176358982">
    <w:abstractNumId w:val="2"/>
  </w:num>
  <w:num w:numId="8" w16cid:durableId="17276039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5C8"/>
    <w:rsid w:val="000E46A7"/>
    <w:rsid w:val="003E4E40"/>
    <w:rsid w:val="00977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98B68F-C815-4E21-BC20-39ED7917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50" w:lineRule="auto"/>
      <w:ind w:left="10" w:hanging="10"/>
    </w:pPr>
    <w:rPr>
      <w:rFonts w:ascii="Calibri" w:eastAsia="Calibri" w:hAnsi="Calibri" w:cs="Calibri"/>
      <w:color w:val="000000"/>
      <w:sz w:val="20"/>
    </w:rPr>
  </w:style>
  <w:style w:type="paragraph" w:styleId="Kop1">
    <w:name w:val="heading 1"/>
    <w:next w:val="Standaard"/>
    <w:link w:val="Kop1Char"/>
    <w:uiPriority w:val="9"/>
    <w:qFormat/>
    <w:pPr>
      <w:keepNext/>
      <w:keepLines/>
      <w:spacing w:after="194"/>
      <w:ind w:left="10" w:hanging="10"/>
      <w:outlineLvl w:val="0"/>
    </w:pPr>
    <w:rPr>
      <w:rFonts w:ascii="Calibri" w:eastAsia="Calibri" w:hAnsi="Calibri" w:cs="Calibri"/>
      <w:b/>
      <w:color w:val="000000"/>
      <w:sz w:val="20"/>
      <w:u w:val="single" w:color="000000"/>
    </w:rPr>
  </w:style>
  <w:style w:type="paragraph" w:styleId="Kop2">
    <w:name w:val="heading 2"/>
    <w:next w:val="Standaard"/>
    <w:link w:val="Kop2Char"/>
    <w:uiPriority w:val="9"/>
    <w:unhideWhenUsed/>
    <w:qFormat/>
    <w:pPr>
      <w:keepNext/>
      <w:keepLines/>
      <w:spacing w:after="234"/>
      <w:ind w:left="10" w:hanging="10"/>
      <w:outlineLvl w:val="1"/>
    </w:pPr>
    <w:rPr>
      <w:rFonts w:ascii="Calibri" w:eastAsia="Calibri" w:hAnsi="Calibri" w:cs="Calibri"/>
      <w:b/>
      <w:color w:val="000000"/>
      <w:sz w:val="20"/>
    </w:rPr>
  </w:style>
  <w:style w:type="paragraph" w:styleId="Kop3">
    <w:name w:val="heading 3"/>
    <w:next w:val="Standaard"/>
    <w:link w:val="Kop3Char"/>
    <w:uiPriority w:val="9"/>
    <w:unhideWhenUsed/>
    <w:qFormat/>
    <w:pPr>
      <w:keepNext/>
      <w:keepLines/>
      <w:spacing w:after="234"/>
      <w:ind w:left="10" w:hanging="10"/>
      <w:outlineLvl w:val="2"/>
    </w:pPr>
    <w:rPr>
      <w:rFonts w:ascii="Calibri" w:eastAsia="Calibri" w:hAnsi="Calibri" w:cs="Calibri"/>
      <w:b/>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Pr>
      <w:rFonts w:ascii="Calibri" w:eastAsia="Calibri" w:hAnsi="Calibri" w:cs="Calibri"/>
      <w:b/>
      <w:color w:val="000000"/>
      <w:sz w:val="20"/>
    </w:rPr>
  </w:style>
  <w:style w:type="character" w:customStyle="1" w:styleId="Kop1Char">
    <w:name w:val="Kop 1 Char"/>
    <w:link w:val="Kop1"/>
    <w:rPr>
      <w:rFonts w:ascii="Calibri" w:eastAsia="Calibri" w:hAnsi="Calibri" w:cs="Calibri"/>
      <w:b/>
      <w:color w:val="000000"/>
      <w:sz w:val="20"/>
      <w:u w:val="single" w:color="000000"/>
    </w:rPr>
  </w:style>
  <w:style w:type="character" w:customStyle="1" w:styleId="Kop2Char">
    <w:name w:val="Kop 2 Char"/>
    <w:link w:val="Kop2"/>
    <w:rPr>
      <w:rFonts w:ascii="Calibri" w:eastAsia="Calibri" w:hAnsi="Calibri" w:cs="Calibri"/>
      <w:b/>
      <w:color w:val="000000"/>
      <w:sz w:val="20"/>
    </w:rPr>
  </w:style>
  <w:style w:type="paragraph" w:styleId="Inhopg1">
    <w:name w:val="toc 1"/>
    <w:hidden/>
    <w:pPr>
      <w:spacing w:after="53"/>
      <w:ind w:left="25" w:right="15" w:hanging="10"/>
    </w:pPr>
    <w:rPr>
      <w:rFonts w:ascii="Calibri" w:eastAsia="Calibri" w:hAnsi="Calibri" w:cs="Calibri"/>
      <w:b/>
      <w:color w:val="000000"/>
    </w:rPr>
  </w:style>
  <w:style w:type="paragraph" w:styleId="Inhopg2">
    <w:name w:val="toc 2"/>
    <w:hidden/>
    <w:pPr>
      <w:spacing w:after="53"/>
      <w:ind w:left="385" w:right="15" w:hanging="10"/>
    </w:pPr>
    <w:rPr>
      <w:rFonts w:ascii="Calibri" w:eastAsia="Calibri" w:hAnsi="Calibri" w:cs="Calibri"/>
      <w:i/>
      <w:color w:val="000000"/>
    </w:rPr>
  </w:style>
  <w:style w:type="paragraph" w:styleId="Inhopg3">
    <w:name w:val="toc 3"/>
    <w:hidden/>
    <w:pPr>
      <w:spacing w:after="53"/>
      <w:ind w:left="385" w:right="15" w:hanging="10"/>
    </w:pPr>
    <w:rPr>
      <w:rFonts w:ascii="Calibri" w:eastAsia="Calibri" w:hAnsi="Calibri" w:cs="Calibri"/>
      <w: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ime-team.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nrb.nl/kennisplein/wedstrijden/wedstrijdreglement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1559</Words>
  <Characters>8890</Characters>
  <Application>Microsoft Office Word</Application>
  <DocSecurity>0</DocSecurity>
  <Lines>74</Lines>
  <Paragraphs>20</Paragraphs>
  <ScaleCrop>false</ScaleCrop>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Bepalingen Heineken Okeanos Competitie Tweekamp 2024</dc:title>
  <dc:subject/>
  <dc:creator>Spaan, S. (Sam)</dc:creator>
  <cp:keywords/>
  <cp:lastModifiedBy>Spaan, S. (Sam)</cp:lastModifiedBy>
  <cp:revision>2</cp:revision>
  <dcterms:created xsi:type="dcterms:W3CDTF">2024-03-08T11:30:00Z</dcterms:created>
  <dcterms:modified xsi:type="dcterms:W3CDTF">2024-03-08T11:30:00Z</dcterms:modified>
</cp:coreProperties>
</file>